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8510"/>
      </w:tblGrid>
      <w:tr w:rsidR="007B23FC" w14:paraId="39FBB6C9" w14:textId="77777777" w:rsidTr="009E22B0">
        <w:tc>
          <w:tcPr>
            <w:tcW w:w="8510" w:type="dxa"/>
          </w:tcPr>
          <w:p w14:paraId="3323CE26" w14:textId="77777777" w:rsidR="007B23FC" w:rsidRDefault="002774F4" w:rsidP="00A53B04">
            <w:pPr>
              <w:pStyle w:val="Infotext"/>
              <w:rPr>
                <w:rFonts w:ascii="Arial Black" w:hAnsi="Arial Black"/>
                <w:color w:val="999999"/>
                <w:sz w:val="36"/>
                <w:szCs w:val="36"/>
              </w:rPr>
            </w:pPr>
            <w:r>
              <w:rPr>
                <w:rFonts w:ascii="Arial Black" w:hAnsi="Arial Black"/>
                <w:noProof/>
                <w:color w:val="999999"/>
                <w:sz w:val="36"/>
                <w:szCs w:val="36"/>
                <w:lang w:eastAsia="en-GB"/>
              </w:rPr>
              <w:drawing>
                <wp:anchor distT="0" distB="0" distL="114300" distR="114300" simplePos="0" relativeHeight="251657728" behindDoc="0" locked="1" layoutInCell="1" allowOverlap="1" wp14:anchorId="026A509D" wp14:editId="6361F542">
                  <wp:simplePos x="0" y="0"/>
                  <wp:positionH relativeFrom="column">
                    <wp:posOffset>-15240</wp:posOffset>
                  </wp:positionH>
                  <wp:positionV relativeFrom="page">
                    <wp:posOffset>419100</wp:posOffset>
                  </wp:positionV>
                  <wp:extent cx="5406390" cy="869315"/>
                  <wp:effectExtent l="0" t="0" r="3810" b="6985"/>
                  <wp:wrapNone/>
                  <wp:docPr id="9" name="Picture 3" descr="Black 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lack letterhead"/>
                          <pic:cNvPicPr>
                            <a:picLocks noChangeAspect="1" noChangeArrowheads="1"/>
                          </pic:cNvPicPr>
                        </pic:nvPicPr>
                        <pic:blipFill>
                          <a:blip r:embed="rId13">
                            <a:extLst>
                              <a:ext uri="{28A0092B-C50C-407E-A947-70E740481C1C}">
                                <a14:useLocalDpi xmlns:a14="http://schemas.microsoft.com/office/drawing/2010/main" val="0"/>
                              </a:ext>
                            </a:extLst>
                          </a:blip>
                          <a:srcRect l="29193"/>
                          <a:stretch>
                            <a:fillRect/>
                          </a:stretch>
                        </pic:blipFill>
                        <pic:spPr bwMode="auto">
                          <a:xfrm>
                            <a:off x="0" y="0"/>
                            <a:ext cx="5406390" cy="869315"/>
                          </a:xfrm>
                          <a:prstGeom prst="rect">
                            <a:avLst/>
                          </a:prstGeom>
                          <a:noFill/>
                          <a:ln>
                            <a:noFill/>
                          </a:ln>
                        </pic:spPr>
                      </pic:pic>
                    </a:graphicData>
                  </a:graphic>
                  <wp14:sizeRelH relativeFrom="page">
                    <wp14:pctWidth>0</wp14:pctWidth>
                  </wp14:sizeRelH>
                  <wp14:sizeRelV relativeFrom="page">
                    <wp14:pctHeight>0</wp14:pctHeight>
                  </wp14:sizeRelV>
                </wp:anchor>
              </w:drawing>
            </w:r>
            <w:r w:rsidR="007B23FC">
              <w:rPr>
                <w:rFonts w:ascii="Arial Black" w:hAnsi="Arial Black"/>
                <w:color w:val="999999"/>
                <w:sz w:val="36"/>
                <w:szCs w:val="36"/>
              </w:rPr>
              <w:t xml:space="preserve">     </w:t>
            </w:r>
          </w:p>
          <w:p w14:paraId="7FA85C3F" w14:textId="77777777" w:rsidR="003728EE" w:rsidRDefault="003728EE" w:rsidP="00A53B04">
            <w:pPr>
              <w:pStyle w:val="Infotext"/>
              <w:rPr>
                <w:rFonts w:ascii="Arial Black" w:hAnsi="Arial Black"/>
                <w:color w:val="999999"/>
                <w:sz w:val="36"/>
                <w:szCs w:val="36"/>
              </w:rPr>
            </w:pPr>
          </w:p>
          <w:p w14:paraId="78E7D1EC" w14:textId="77777777" w:rsidR="007B23FC" w:rsidRDefault="007B23FC" w:rsidP="00A53B04">
            <w:pPr>
              <w:pStyle w:val="Infotext"/>
              <w:rPr>
                <w:rFonts w:ascii="Arial Black" w:hAnsi="Arial Black"/>
                <w:color w:val="999999"/>
                <w:sz w:val="36"/>
                <w:szCs w:val="36"/>
              </w:rPr>
            </w:pPr>
          </w:p>
          <w:p w14:paraId="706D404B" w14:textId="77777777" w:rsidR="007B23FC" w:rsidRDefault="007B23FC" w:rsidP="00A53B04">
            <w:pPr>
              <w:pStyle w:val="Infotext"/>
              <w:rPr>
                <w:rFonts w:ascii="Arial Black" w:hAnsi="Arial Black"/>
                <w:color w:val="999999"/>
                <w:sz w:val="36"/>
                <w:szCs w:val="36"/>
              </w:rPr>
            </w:pPr>
          </w:p>
          <w:p w14:paraId="2A487D4D" w14:textId="77777777" w:rsidR="007B23FC" w:rsidRPr="007B23FC" w:rsidRDefault="007B23FC" w:rsidP="00A53B04">
            <w:pPr>
              <w:rPr>
                <w:rFonts w:ascii="Arial Black" w:hAnsi="Arial Black" w:cs="Arial"/>
                <w:szCs w:val="36"/>
              </w:rPr>
            </w:pPr>
          </w:p>
        </w:tc>
      </w:tr>
      <w:tr w:rsidR="003728EE" w14:paraId="7D105054" w14:textId="77777777" w:rsidTr="00421A4C">
        <w:tc>
          <w:tcPr>
            <w:tcW w:w="8510" w:type="dxa"/>
            <w:tcBorders>
              <w:bottom w:val="single" w:sz="18" w:space="0" w:color="auto"/>
            </w:tcBorders>
          </w:tcPr>
          <w:p w14:paraId="089FFF43" w14:textId="77777777" w:rsidR="003728EE" w:rsidRDefault="003728EE" w:rsidP="00A53B04">
            <w:pPr>
              <w:pStyle w:val="Infotext"/>
              <w:rPr>
                <w:rFonts w:ascii="Arial Black" w:hAnsi="Arial Black"/>
                <w:noProof/>
                <w:color w:val="999999"/>
                <w:sz w:val="36"/>
                <w:szCs w:val="36"/>
                <w:lang w:eastAsia="en-GB"/>
              </w:rPr>
            </w:pPr>
          </w:p>
        </w:tc>
      </w:tr>
    </w:tbl>
    <w:p w14:paraId="75E6A00C" w14:textId="77777777" w:rsidR="004076C8" w:rsidRPr="0036201C" w:rsidRDefault="004076C8"/>
    <w:tbl>
      <w:tblPr>
        <w:tblW w:w="8510" w:type="dxa"/>
        <w:tblLayout w:type="fixed"/>
        <w:tblLook w:val="0000" w:firstRow="0" w:lastRow="0" w:firstColumn="0" w:lastColumn="0" w:noHBand="0" w:noVBand="0"/>
      </w:tblPr>
      <w:tblGrid>
        <w:gridCol w:w="3510"/>
        <w:gridCol w:w="4829"/>
        <w:gridCol w:w="171"/>
      </w:tblGrid>
      <w:tr w:rsidR="00333FAA" w14:paraId="47227AE1" w14:textId="77777777" w:rsidTr="00BE36D5">
        <w:tc>
          <w:tcPr>
            <w:tcW w:w="3510" w:type="dxa"/>
            <w:tcBorders>
              <w:bottom w:val="single" w:sz="18" w:space="0" w:color="auto"/>
            </w:tcBorders>
          </w:tcPr>
          <w:p w14:paraId="2B96DE07" w14:textId="77777777" w:rsidR="00333FAA" w:rsidRPr="00B805DB" w:rsidRDefault="00333FAA" w:rsidP="00A53B04">
            <w:pPr>
              <w:pStyle w:val="Infotext"/>
              <w:rPr>
                <w:rFonts w:ascii="Arial Black" w:hAnsi="Arial Black"/>
                <w:color w:val="999999"/>
                <w:sz w:val="36"/>
                <w:szCs w:val="36"/>
              </w:rPr>
            </w:pPr>
            <w:r w:rsidRPr="00B805DB">
              <w:rPr>
                <w:rFonts w:ascii="Arial Black" w:hAnsi="Arial Black"/>
                <w:color w:val="999999"/>
                <w:sz w:val="36"/>
                <w:szCs w:val="36"/>
              </w:rPr>
              <w:t>REPORT FOR:</w:t>
            </w:r>
          </w:p>
          <w:p w14:paraId="55D07B26" w14:textId="77777777" w:rsidR="00333FAA" w:rsidRPr="00B805DB" w:rsidRDefault="00333FAA" w:rsidP="00A53B04">
            <w:pPr>
              <w:pStyle w:val="Infotext"/>
              <w:rPr>
                <w:rFonts w:ascii="Arial Black" w:hAnsi="Arial Black" w:cs="Arial"/>
                <w:sz w:val="36"/>
                <w:szCs w:val="36"/>
              </w:rPr>
            </w:pPr>
          </w:p>
        </w:tc>
        <w:tc>
          <w:tcPr>
            <w:tcW w:w="5000" w:type="dxa"/>
            <w:gridSpan w:val="2"/>
            <w:tcBorders>
              <w:bottom w:val="single" w:sz="18" w:space="0" w:color="auto"/>
            </w:tcBorders>
          </w:tcPr>
          <w:p w14:paraId="3A113B05" w14:textId="77777777" w:rsidR="00333FAA" w:rsidRPr="005E3A10" w:rsidRDefault="00333FAA" w:rsidP="00A53B04">
            <w:pPr>
              <w:rPr>
                <w:rFonts w:ascii="Arial Black" w:hAnsi="Arial Black" w:cs="Arial"/>
                <w:sz w:val="36"/>
                <w:szCs w:val="36"/>
              </w:rPr>
            </w:pPr>
            <w:r w:rsidRPr="005E3A10">
              <w:rPr>
                <w:rFonts w:ascii="Arial Black" w:hAnsi="Arial Black" w:cs="Arial"/>
                <w:sz w:val="36"/>
                <w:szCs w:val="36"/>
              </w:rPr>
              <w:t>CABINET</w:t>
            </w:r>
          </w:p>
          <w:p w14:paraId="4211FCF8" w14:textId="77777777" w:rsidR="00333FAA" w:rsidRPr="005E3A10" w:rsidRDefault="00333FAA" w:rsidP="00A53B04">
            <w:pPr>
              <w:rPr>
                <w:rFonts w:ascii="Arial Black" w:hAnsi="Arial Black" w:cs="Arial"/>
                <w:szCs w:val="24"/>
              </w:rPr>
            </w:pPr>
          </w:p>
        </w:tc>
      </w:tr>
      <w:tr w:rsidR="00333FAA" w14:paraId="2541488F" w14:textId="77777777" w:rsidTr="00BE36D5">
        <w:tc>
          <w:tcPr>
            <w:tcW w:w="3510" w:type="dxa"/>
            <w:tcBorders>
              <w:top w:val="single" w:sz="18" w:space="0" w:color="auto"/>
            </w:tcBorders>
          </w:tcPr>
          <w:p w14:paraId="10D0D9D7" w14:textId="77777777" w:rsidR="00333FAA" w:rsidRPr="00C13A5F" w:rsidRDefault="00333FAA" w:rsidP="00A53B04">
            <w:pPr>
              <w:pStyle w:val="Infotext"/>
              <w:rPr>
                <w:rFonts w:ascii="Arial Black" w:hAnsi="Arial Black"/>
              </w:rPr>
            </w:pPr>
            <w:r w:rsidRPr="00C13A5F">
              <w:rPr>
                <w:rFonts w:ascii="Arial Black" w:hAnsi="Arial Black"/>
              </w:rPr>
              <w:t>Date</w:t>
            </w:r>
            <w:r>
              <w:rPr>
                <w:rFonts w:ascii="Arial Black" w:hAnsi="Arial Black"/>
              </w:rPr>
              <w:t xml:space="preserve"> of Meeting</w:t>
            </w:r>
            <w:r w:rsidRPr="00C13A5F">
              <w:rPr>
                <w:rFonts w:ascii="Arial Black" w:hAnsi="Arial Black"/>
              </w:rPr>
              <w:t>:</w:t>
            </w:r>
          </w:p>
          <w:p w14:paraId="3741C740" w14:textId="77777777" w:rsidR="00333FAA" w:rsidRPr="00C13A5F" w:rsidRDefault="00333FAA" w:rsidP="00A53B04">
            <w:pPr>
              <w:pStyle w:val="Infotext"/>
              <w:rPr>
                <w:rFonts w:ascii="Arial Black" w:hAnsi="Arial Black" w:cs="Arial"/>
              </w:rPr>
            </w:pPr>
          </w:p>
        </w:tc>
        <w:tc>
          <w:tcPr>
            <w:tcW w:w="5000" w:type="dxa"/>
            <w:gridSpan w:val="2"/>
            <w:tcBorders>
              <w:top w:val="single" w:sz="18" w:space="0" w:color="auto"/>
            </w:tcBorders>
          </w:tcPr>
          <w:p w14:paraId="7185BA4A" w14:textId="2D31BF0C" w:rsidR="00333FAA" w:rsidRDefault="00EC0C4D" w:rsidP="00DD3A49">
            <w:pPr>
              <w:rPr>
                <w:rFonts w:cs="Arial"/>
              </w:rPr>
            </w:pPr>
            <w:r>
              <w:rPr>
                <w:rFonts w:cs="Arial"/>
              </w:rPr>
              <w:t>14</w:t>
            </w:r>
            <w:r w:rsidR="00FF509C" w:rsidRPr="006B1DE1">
              <w:rPr>
                <w:rFonts w:cs="Arial"/>
              </w:rPr>
              <w:t xml:space="preserve"> </w:t>
            </w:r>
            <w:r>
              <w:rPr>
                <w:rFonts w:cs="Arial"/>
              </w:rPr>
              <w:t>September</w:t>
            </w:r>
            <w:r w:rsidR="00C61CE7">
              <w:rPr>
                <w:rFonts w:cs="Arial"/>
              </w:rPr>
              <w:t xml:space="preserve"> 2017</w:t>
            </w:r>
          </w:p>
          <w:p w14:paraId="32489322" w14:textId="77777777" w:rsidR="00DD3A49" w:rsidRPr="005E3A10" w:rsidRDefault="00DD3A49" w:rsidP="00DD3A49">
            <w:pPr>
              <w:rPr>
                <w:rFonts w:cs="Arial"/>
                <w:szCs w:val="24"/>
              </w:rPr>
            </w:pPr>
          </w:p>
        </w:tc>
      </w:tr>
      <w:tr w:rsidR="00333FAA" w14:paraId="6CB612C8" w14:textId="77777777" w:rsidTr="00BE36D5">
        <w:tc>
          <w:tcPr>
            <w:tcW w:w="3510" w:type="dxa"/>
          </w:tcPr>
          <w:p w14:paraId="54895B2F" w14:textId="77777777" w:rsidR="00333FAA" w:rsidRPr="00C13A5F" w:rsidRDefault="00333FAA" w:rsidP="00A53B04">
            <w:pPr>
              <w:pStyle w:val="Infotext"/>
              <w:rPr>
                <w:rFonts w:ascii="Arial Black" w:hAnsi="Arial Black" w:cs="Arial"/>
              </w:rPr>
            </w:pPr>
            <w:r w:rsidRPr="00C13A5F">
              <w:rPr>
                <w:rFonts w:ascii="Arial Black" w:hAnsi="Arial Black" w:cs="Arial"/>
              </w:rPr>
              <w:t>Subject:</w:t>
            </w:r>
          </w:p>
          <w:p w14:paraId="347BED9F" w14:textId="77777777" w:rsidR="00333FAA" w:rsidRPr="00C13A5F" w:rsidRDefault="00333FAA" w:rsidP="00A53B04">
            <w:pPr>
              <w:pStyle w:val="Infotext"/>
              <w:rPr>
                <w:rFonts w:ascii="Arial Black" w:hAnsi="Arial Black"/>
              </w:rPr>
            </w:pPr>
          </w:p>
        </w:tc>
        <w:tc>
          <w:tcPr>
            <w:tcW w:w="5000" w:type="dxa"/>
            <w:gridSpan w:val="2"/>
          </w:tcPr>
          <w:p w14:paraId="4C453BF6" w14:textId="75A8343C" w:rsidR="00333FAA" w:rsidRPr="005D2E4A" w:rsidRDefault="003B20DC" w:rsidP="0011741A">
            <w:pPr>
              <w:rPr>
                <w:rFonts w:cs="Arial"/>
              </w:rPr>
            </w:pPr>
            <w:r w:rsidRPr="005D2E4A">
              <w:rPr>
                <w:rFonts w:cs="Arial"/>
              </w:rPr>
              <w:t>Revenue and Capital Monitoring 2017/18 – Quarter 1 as at 30</w:t>
            </w:r>
            <w:r w:rsidRPr="005D2E4A">
              <w:rPr>
                <w:rFonts w:cs="Arial"/>
                <w:vertAlign w:val="superscript"/>
              </w:rPr>
              <w:t>th</w:t>
            </w:r>
            <w:r w:rsidRPr="005D2E4A">
              <w:rPr>
                <w:rFonts w:cs="Arial"/>
              </w:rPr>
              <w:t xml:space="preserve"> June 2017</w:t>
            </w:r>
          </w:p>
          <w:p w14:paraId="1157B48C" w14:textId="66404FE0" w:rsidR="0011741A" w:rsidRPr="005E3A10" w:rsidRDefault="0011741A" w:rsidP="0011741A">
            <w:pPr>
              <w:rPr>
                <w:rFonts w:cs="Arial"/>
                <w:szCs w:val="24"/>
              </w:rPr>
            </w:pPr>
          </w:p>
        </w:tc>
      </w:tr>
      <w:tr w:rsidR="00333FAA" w14:paraId="4FDEED1F" w14:textId="77777777" w:rsidTr="00BE36D5">
        <w:tc>
          <w:tcPr>
            <w:tcW w:w="3510" w:type="dxa"/>
          </w:tcPr>
          <w:p w14:paraId="1FFB7E24" w14:textId="77777777" w:rsidR="00333FAA" w:rsidRPr="00C13A5F" w:rsidRDefault="00333FAA" w:rsidP="00A53B04">
            <w:pPr>
              <w:pStyle w:val="Infotext"/>
              <w:rPr>
                <w:rFonts w:ascii="Arial Black" w:hAnsi="Arial Black" w:cs="Arial"/>
              </w:rPr>
            </w:pPr>
            <w:r w:rsidRPr="00C13A5F">
              <w:rPr>
                <w:rFonts w:ascii="Arial Black" w:hAnsi="Arial Black" w:cs="Arial"/>
              </w:rPr>
              <w:t xml:space="preserve">Key Decision: </w:t>
            </w:r>
          </w:p>
          <w:p w14:paraId="0E22EBBF" w14:textId="77777777" w:rsidR="00333FAA" w:rsidRPr="00C13A5F" w:rsidRDefault="00333FAA" w:rsidP="00A53B04">
            <w:pPr>
              <w:pStyle w:val="Infotext"/>
              <w:rPr>
                <w:rFonts w:ascii="Arial Black" w:hAnsi="Arial Black" w:cs="Arial"/>
              </w:rPr>
            </w:pPr>
          </w:p>
        </w:tc>
        <w:tc>
          <w:tcPr>
            <w:tcW w:w="5000" w:type="dxa"/>
            <w:gridSpan w:val="2"/>
          </w:tcPr>
          <w:p w14:paraId="3CA042DF" w14:textId="1BC0079E" w:rsidR="00BF7A26" w:rsidRPr="00BF7A26" w:rsidRDefault="008E3EF8" w:rsidP="00BF7A26">
            <w:pPr>
              <w:pStyle w:val="Infotext"/>
              <w:rPr>
                <w:rFonts w:cs="Arial"/>
                <w:bCs/>
                <w:szCs w:val="24"/>
              </w:rPr>
            </w:pPr>
            <w:r>
              <w:rPr>
                <w:rFonts w:cs="Arial"/>
                <w:sz w:val="24"/>
                <w:szCs w:val="24"/>
              </w:rPr>
              <w:t>Yes</w:t>
            </w:r>
          </w:p>
          <w:p w14:paraId="6CBAA87E" w14:textId="193FB8C6" w:rsidR="00333FAA" w:rsidRPr="005E3A10" w:rsidRDefault="00333FAA" w:rsidP="002C672F">
            <w:pPr>
              <w:pStyle w:val="Infotext"/>
              <w:rPr>
                <w:rFonts w:cs="Arial"/>
                <w:szCs w:val="24"/>
              </w:rPr>
            </w:pPr>
          </w:p>
        </w:tc>
      </w:tr>
      <w:tr w:rsidR="001C7E35" w14:paraId="4B648F80" w14:textId="77777777" w:rsidTr="00BE36D5">
        <w:tc>
          <w:tcPr>
            <w:tcW w:w="3510" w:type="dxa"/>
          </w:tcPr>
          <w:p w14:paraId="363BA823" w14:textId="77777777" w:rsidR="001C7E35" w:rsidRPr="00C13A5F" w:rsidRDefault="001C7E35" w:rsidP="00A53B04">
            <w:pPr>
              <w:pStyle w:val="Infotext"/>
              <w:rPr>
                <w:rFonts w:ascii="Arial Black" w:hAnsi="Arial Black" w:cs="Arial"/>
              </w:rPr>
            </w:pPr>
            <w:r w:rsidRPr="00C13A5F">
              <w:rPr>
                <w:rFonts w:ascii="Arial Black" w:hAnsi="Arial Black" w:cs="Arial"/>
              </w:rPr>
              <w:t>Responsible Officer:</w:t>
            </w:r>
          </w:p>
          <w:p w14:paraId="29AE1371" w14:textId="77777777" w:rsidR="001C7E35" w:rsidRPr="00C13A5F" w:rsidRDefault="001C7E35" w:rsidP="00A53B04">
            <w:pPr>
              <w:pStyle w:val="Infotext"/>
              <w:rPr>
                <w:rFonts w:ascii="Arial Black" w:hAnsi="Arial Black" w:cs="Arial"/>
              </w:rPr>
            </w:pPr>
          </w:p>
        </w:tc>
        <w:tc>
          <w:tcPr>
            <w:tcW w:w="5000" w:type="dxa"/>
            <w:gridSpan w:val="2"/>
          </w:tcPr>
          <w:p w14:paraId="162CAFE5" w14:textId="77777777" w:rsidR="001C7E35" w:rsidRPr="00FF509C" w:rsidRDefault="00FF509C" w:rsidP="00D835CF">
            <w:pPr>
              <w:pStyle w:val="Infotext"/>
              <w:rPr>
                <w:rFonts w:cs="Arial"/>
                <w:sz w:val="24"/>
                <w:szCs w:val="24"/>
              </w:rPr>
            </w:pPr>
            <w:r w:rsidRPr="00FF509C">
              <w:rPr>
                <w:rFonts w:cs="Arial"/>
                <w:sz w:val="24"/>
                <w:szCs w:val="24"/>
              </w:rPr>
              <w:t xml:space="preserve">Dawn Calvert, Director of Finance </w:t>
            </w:r>
          </w:p>
        </w:tc>
      </w:tr>
      <w:tr w:rsidR="001C7E35" w14:paraId="26DE3B16" w14:textId="77777777" w:rsidTr="00BE36D5">
        <w:tc>
          <w:tcPr>
            <w:tcW w:w="3510" w:type="dxa"/>
          </w:tcPr>
          <w:p w14:paraId="6BE1FAE3" w14:textId="77777777" w:rsidR="001C7E35" w:rsidRPr="00DB6C3D" w:rsidRDefault="001C7E35" w:rsidP="00DB6C3D">
            <w:pPr>
              <w:pStyle w:val="Infotext"/>
              <w:rPr>
                <w:rFonts w:ascii="Arial Black" w:hAnsi="Arial Black"/>
              </w:rPr>
            </w:pPr>
            <w:r w:rsidRPr="00DB6C3D">
              <w:rPr>
                <w:rFonts w:ascii="Arial Black" w:hAnsi="Arial Black"/>
              </w:rPr>
              <w:t>Portfolio Holder:</w:t>
            </w:r>
          </w:p>
          <w:p w14:paraId="5762CB0D" w14:textId="77777777" w:rsidR="001C7E35" w:rsidRPr="00C13A5F" w:rsidRDefault="001C7E35" w:rsidP="00A53B04">
            <w:pPr>
              <w:pStyle w:val="BodyText"/>
              <w:rPr>
                <w:rFonts w:ascii="Arial Black" w:hAnsi="Arial Black"/>
              </w:rPr>
            </w:pPr>
          </w:p>
        </w:tc>
        <w:tc>
          <w:tcPr>
            <w:tcW w:w="5000" w:type="dxa"/>
            <w:gridSpan w:val="2"/>
          </w:tcPr>
          <w:p w14:paraId="0414A3D8" w14:textId="77777777" w:rsidR="001C7E35" w:rsidRPr="005E3A10" w:rsidRDefault="00FF509C" w:rsidP="00E871FD">
            <w:pPr>
              <w:pStyle w:val="Infotext"/>
              <w:rPr>
                <w:rFonts w:cs="Arial"/>
                <w:color w:val="FF0000"/>
                <w:sz w:val="24"/>
                <w:szCs w:val="24"/>
              </w:rPr>
            </w:pPr>
            <w:r w:rsidRPr="00FF509C">
              <w:rPr>
                <w:rFonts w:cs="Arial"/>
                <w:sz w:val="24"/>
                <w:szCs w:val="24"/>
              </w:rPr>
              <w:t xml:space="preserve">Councillor </w:t>
            </w:r>
            <w:r w:rsidR="00D77527">
              <w:rPr>
                <w:rFonts w:cs="Arial"/>
                <w:sz w:val="24"/>
                <w:szCs w:val="24"/>
              </w:rPr>
              <w:t>Adam Swersk</w:t>
            </w:r>
            <w:r w:rsidR="00E871FD">
              <w:rPr>
                <w:rFonts w:cs="Arial"/>
                <w:sz w:val="24"/>
                <w:szCs w:val="24"/>
              </w:rPr>
              <w:t>y,</w:t>
            </w:r>
            <w:r w:rsidRPr="00FF509C">
              <w:rPr>
                <w:rFonts w:cs="Arial"/>
                <w:sz w:val="24"/>
                <w:szCs w:val="24"/>
              </w:rPr>
              <w:t xml:space="preserve"> Portfolio Holder for Finance and </w:t>
            </w:r>
            <w:r w:rsidR="00E871FD">
              <w:rPr>
                <w:rFonts w:cs="Arial"/>
                <w:sz w:val="24"/>
                <w:szCs w:val="24"/>
              </w:rPr>
              <w:t>Commercialisation</w:t>
            </w:r>
          </w:p>
        </w:tc>
      </w:tr>
      <w:tr w:rsidR="001C7E35" w14:paraId="482B9714" w14:textId="77777777" w:rsidTr="00BE36D5">
        <w:tc>
          <w:tcPr>
            <w:tcW w:w="3510" w:type="dxa"/>
          </w:tcPr>
          <w:p w14:paraId="368D7583" w14:textId="77777777" w:rsidR="001C7E35" w:rsidRPr="00DB6C3D" w:rsidRDefault="001C7E35" w:rsidP="00DB6C3D">
            <w:pPr>
              <w:pStyle w:val="Infotext"/>
              <w:rPr>
                <w:rFonts w:ascii="Arial Black" w:hAnsi="Arial Black"/>
              </w:rPr>
            </w:pPr>
            <w:r w:rsidRPr="00DB6C3D">
              <w:rPr>
                <w:rFonts w:ascii="Arial Black" w:hAnsi="Arial Black"/>
              </w:rPr>
              <w:t>Exempt:</w:t>
            </w:r>
          </w:p>
          <w:p w14:paraId="6BE1F71B" w14:textId="77777777" w:rsidR="001C7E35" w:rsidRPr="00C13A5F" w:rsidRDefault="001C7E35" w:rsidP="00A53B04">
            <w:pPr>
              <w:pStyle w:val="BodyText"/>
              <w:rPr>
                <w:rFonts w:ascii="Arial Black" w:hAnsi="Arial Black"/>
              </w:rPr>
            </w:pPr>
          </w:p>
        </w:tc>
        <w:tc>
          <w:tcPr>
            <w:tcW w:w="5000" w:type="dxa"/>
            <w:gridSpan w:val="2"/>
          </w:tcPr>
          <w:p w14:paraId="1263810A" w14:textId="2567C41E" w:rsidR="00EF3E22" w:rsidRPr="00EF3E22" w:rsidRDefault="008E3EF8" w:rsidP="00F650D7">
            <w:pPr>
              <w:pStyle w:val="Infotext"/>
              <w:ind w:right="356"/>
              <w:jc w:val="both"/>
              <w:outlineLvl w:val="0"/>
              <w:rPr>
                <w:rFonts w:cs="Arial"/>
                <w:sz w:val="24"/>
                <w:szCs w:val="24"/>
              </w:rPr>
            </w:pPr>
            <w:r w:rsidRPr="008E3EF8">
              <w:rPr>
                <w:rFonts w:cs="Arial"/>
                <w:sz w:val="24"/>
                <w:szCs w:val="24"/>
              </w:rPr>
              <w:t>No,</w:t>
            </w:r>
            <w:r w:rsidRPr="008E3EF8">
              <w:rPr>
                <w:rFonts w:cs="Arial"/>
                <w:bCs/>
                <w:sz w:val="24"/>
                <w:szCs w:val="24"/>
              </w:rPr>
              <w:t xml:space="preserve"> except for Appendix 5, which is exempt on the grounds that it contains “exempt information” under paragraph 3 of Part I of Schedule 12A to the Local Government Act 1972 (as amended) in that it contains information relating to the financial or business affairs of any particular person (including the authority holding that information</w:t>
            </w:r>
          </w:p>
          <w:p w14:paraId="56D1C2D0" w14:textId="4B39F745" w:rsidR="001C7E35" w:rsidRPr="005E3A10" w:rsidRDefault="001C7E35" w:rsidP="00A64789">
            <w:pPr>
              <w:pStyle w:val="Infotext"/>
              <w:rPr>
                <w:rFonts w:cs="Arial"/>
                <w:color w:val="FF0000"/>
                <w:sz w:val="24"/>
                <w:szCs w:val="24"/>
              </w:rPr>
            </w:pPr>
          </w:p>
        </w:tc>
      </w:tr>
      <w:tr w:rsidR="001C7E35" w14:paraId="41B65A1D" w14:textId="77777777" w:rsidTr="00BE36D5">
        <w:tc>
          <w:tcPr>
            <w:tcW w:w="3510" w:type="dxa"/>
          </w:tcPr>
          <w:p w14:paraId="4B4FBB39" w14:textId="77777777" w:rsidR="001C7E35" w:rsidRPr="00DB6C3D" w:rsidRDefault="001C7E35" w:rsidP="00DB6C3D">
            <w:pPr>
              <w:pStyle w:val="Infotext"/>
              <w:rPr>
                <w:rFonts w:ascii="Arial Black" w:hAnsi="Arial Black"/>
              </w:rPr>
            </w:pPr>
            <w:r w:rsidRPr="00DB6C3D">
              <w:rPr>
                <w:rFonts w:ascii="Arial Black" w:hAnsi="Arial Black"/>
              </w:rPr>
              <w:t>Decision subject to Call-in:</w:t>
            </w:r>
          </w:p>
          <w:p w14:paraId="4CCE5532" w14:textId="77777777" w:rsidR="001C7E35" w:rsidRPr="00C13A5F" w:rsidRDefault="001C7E35" w:rsidP="00A53B04">
            <w:pPr>
              <w:pStyle w:val="BodyText"/>
              <w:rPr>
                <w:rFonts w:ascii="Arial Black" w:hAnsi="Arial Black"/>
              </w:rPr>
            </w:pPr>
          </w:p>
        </w:tc>
        <w:tc>
          <w:tcPr>
            <w:tcW w:w="5000" w:type="dxa"/>
            <w:gridSpan w:val="2"/>
          </w:tcPr>
          <w:p w14:paraId="22A730B0" w14:textId="77777777" w:rsidR="001C7E35" w:rsidRPr="005E3A10" w:rsidRDefault="001C7E35" w:rsidP="00D835CF">
            <w:pPr>
              <w:pStyle w:val="Infotext"/>
              <w:rPr>
                <w:rFonts w:cs="Arial"/>
                <w:sz w:val="24"/>
                <w:szCs w:val="24"/>
              </w:rPr>
            </w:pPr>
            <w:r w:rsidRPr="005E3A10">
              <w:rPr>
                <w:rFonts w:cs="Arial"/>
                <w:sz w:val="24"/>
                <w:szCs w:val="24"/>
              </w:rPr>
              <w:t xml:space="preserve">Yes </w:t>
            </w:r>
          </w:p>
          <w:p w14:paraId="03039B65" w14:textId="77777777" w:rsidR="001C7E35" w:rsidRPr="005E3A10" w:rsidRDefault="001C7E35" w:rsidP="00D835CF">
            <w:pPr>
              <w:rPr>
                <w:rFonts w:cs="Arial"/>
                <w:szCs w:val="24"/>
              </w:rPr>
            </w:pPr>
          </w:p>
          <w:p w14:paraId="3C6D21CC" w14:textId="77777777" w:rsidR="00714BEE" w:rsidRPr="005E3A10" w:rsidRDefault="00714BEE" w:rsidP="00D835CF">
            <w:pPr>
              <w:rPr>
                <w:rFonts w:cs="Arial"/>
                <w:szCs w:val="24"/>
              </w:rPr>
            </w:pPr>
          </w:p>
        </w:tc>
      </w:tr>
      <w:tr w:rsidR="001C7E35" w14:paraId="5E775D45" w14:textId="77777777" w:rsidTr="00BE36D5">
        <w:tc>
          <w:tcPr>
            <w:tcW w:w="3510" w:type="dxa"/>
          </w:tcPr>
          <w:p w14:paraId="0BABF490" w14:textId="77777777" w:rsidR="001C7E35" w:rsidRDefault="001C7E35" w:rsidP="00A53B04">
            <w:pPr>
              <w:pStyle w:val="Infotext"/>
              <w:rPr>
                <w:rFonts w:ascii="Arial Black" w:hAnsi="Arial Black" w:cs="Arial"/>
              </w:rPr>
            </w:pPr>
            <w:r>
              <w:rPr>
                <w:rFonts w:ascii="Arial Black" w:hAnsi="Arial Black" w:cs="Arial"/>
              </w:rPr>
              <w:t>Wards affected:</w:t>
            </w:r>
          </w:p>
          <w:p w14:paraId="5ED1EC9C" w14:textId="77777777" w:rsidR="001C7E35" w:rsidRPr="00C13A5F" w:rsidRDefault="001C7E35" w:rsidP="00A53B04">
            <w:pPr>
              <w:pStyle w:val="Infotext"/>
              <w:rPr>
                <w:rFonts w:ascii="Arial Black" w:hAnsi="Arial Black" w:cs="Arial"/>
              </w:rPr>
            </w:pPr>
          </w:p>
        </w:tc>
        <w:tc>
          <w:tcPr>
            <w:tcW w:w="5000" w:type="dxa"/>
            <w:gridSpan w:val="2"/>
          </w:tcPr>
          <w:p w14:paraId="366F14A2" w14:textId="77777777" w:rsidR="001C7E35" w:rsidRPr="005E3A10" w:rsidRDefault="00FF509C" w:rsidP="00D835CF">
            <w:pPr>
              <w:rPr>
                <w:rFonts w:cs="Arial"/>
                <w:szCs w:val="24"/>
              </w:rPr>
            </w:pPr>
            <w:r>
              <w:rPr>
                <w:rFonts w:cs="Arial"/>
                <w:szCs w:val="24"/>
              </w:rPr>
              <w:t>All</w:t>
            </w:r>
          </w:p>
        </w:tc>
      </w:tr>
      <w:tr w:rsidR="001C7E35" w14:paraId="2AD78899" w14:textId="77777777" w:rsidTr="00BE36D5">
        <w:tc>
          <w:tcPr>
            <w:tcW w:w="3510" w:type="dxa"/>
          </w:tcPr>
          <w:p w14:paraId="244218C7" w14:textId="5FBFEB6A" w:rsidR="001C7E35" w:rsidRPr="00C13A5F" w:rsidRDefault="001C7E35" w:rsidP="00A53B04">
            <w:pPr>
              <w:pStyle w:val="Infotext"/>
              <w:rPr>
                <w:rFonts w:ascii="Arial Black" w:hAnsi="Arial Black" w:cs="Arial"/>
              </w:rPr>
            </w:pPr>
            <w:r w:rsidRPr="00C13A5F">
              <w:rPr>
                <w:rFonts w:ascii="Arial Black" w:hAnsi="Arial Black" w:cs="Arial"/>
              </w:rPr>
              <w:t>Enclosures:</w:t>
            </w:r>
            <w:r w:rsidR="0032360F">
              <w:rPr>
                <w:rFonts w:ascii="Arial Black" w:hAnsi="Arial Black" w:cs="Arial"/>
              </w:rPr>
              <w:t xml:space="preserve">                    </w:t>
            </w:r>
          </w:p>
          <w:p w14:paraId="0AC97A6D" w14:textId="77777777" w:rsidR="001C7E35" w:rsidRDefault="001C7E35" w:rsidP="00A53B04">
            <w:pPr>
              <w:pStyle w:val="Infotext"/>
              <w:rPr>
                <w:rFonts w:ascii="Arial Black" w:hAnsi="Arial Black" w:cs="Arial"/>
              </w:rPr>
            </w:pPr>
          </w:p>
          <w:p w14:paraId="6E6A633D" w14:textId="77777777" w:rsidR="00A229D2" w:rsidRDefault="00A229D2" w:rsidP="00A53B04">
            <w:pPr>
              <w:pStyle w:val="Infotext"/>
              <w:rPr>
                <w:rFonts w:ascii="Arial Black" w:hAnsi="Arial Black" w:cs="Arial"/>
              </w:rPr>
            </w:pPr>
          </w:p>
          <w:p w14:paraId="026E0B7B" w14:textId="77777777" w:rsidR="00A229D2" w:rsidRDefault="00A229D2" w:rsidP="00A53B04">
            <w:pPr>
              <w:pStyle w:val="Infotext"/>
              <w:rPr>
                <w:rFonts w:ascii="Arial Black" w:hAnsi="Arial Black" w:cs="Arial"/>
              </w:rPr>
            </w:pPr>
          </w:p>
          <w:p w14:paraId="52BB2BF3" w14:textId="77777777" w:rsidR="00A229D2" w:rsidRDefault="00A229D2" w:rsidP="00A53B04">
            <w:pPr>
              <w:pStyle w:val="Infotext"/>
              <w:rPr>
                <w:rFonts w:ascii="Arial Black" w:hAnsi="Arial Black" w:cs="Arial"/>
              </w:rPr>
            </w:pPr>
          </w:p>
          <w:p w14:paraId="7191E0F1" w14:textId="77777777" w:rsidR="00A229D2" w:rsidRDefault="00A229D2" w:rsidP="00A53B04">
            <w:pPr>
              <w:pStyle w:val="Infotext"/>
              <w:rPr>
                <w:rFonts w:ascii="Arial Black" w:hAnsi="Arial Black" w:cs="Arial"/>
              </w:rPr>
            </w:pPr>
          </w:p>
          <w:p w14:paraId="046F8254" w14:textId="77777777" w:rsidR="00A229D2" w:rsidRDefault="00A229D2" w:rsidP="00A53B04">
            <w:pPr>
              <w:pStyle w:val="Infotext"/>
              <w:rPr>
                <w:rFonts w:ascii="Arial Black" w:hAnsi="Arial Black" w:cs="Arial"/>
              </w:rPr>
            </w:pPr>
          </w:p>
          <w:p w14:paraId="44E77EE5" w14:textId="77777777" w:rsidR="00A229D2" w:rsidRDefault="00A229D2" w:rsidP="00A53B04">
            <w:pPr>
              <w:pStyle w:val="Infotext"/>
              <w:rPr>
                <w:rFonts w:ascii="Arial Black" w:hAnsi="Arial Black" w:cs="Arial"/>
              </w:rPr>
            </w:pPr>
          </w:p>
          <w:p w14:paraId="16BD55AC" w14:textId="77777777" w:rsidR="00A229D2" w:rsidRPr="00C13A5F" w:rsidRDefault="00A229D2" w:rsidP="00A53B04">
            <w:pPr>
              <w:pStyle w:val="Infotext"/>
              <w:rPr>
                <w:rFonts w:ascii="Arial Black" w:hAnsi="Arial Black" w:cs="Arial"/>
              </w:rPr>
            </w:pPr>
          </w:p>
        </w:tc>
        <w:tc>
          <w:tcPr>
            <w:tcW w:w="5000" w:type="dxa"/>
            <w:gridSpan w:val="2"/>
          </w:tcPr>
          <w:p w14:paraId="537BC93E" w14:textId="4E7874B8" w:rsidR="006D5C47" w:rsidRDefault="003D61E1" w:rsidP="00BB0A57">
            <w:pPr>
              <w:ind w:left="1310" w:right="489" w:hanging="1451"/>
              <w:rPr>
                <w:rFonts w:cs="Arial"/>
              </w:rPr>
            </w:pPr>
            <w:r>
              <w:rPr>
                <w:rFonts w:cs="Arial"/>
              </w:rPr>
              <w:lastRenderedPageBreak/>
              <w:t xml:space="preserve">Appendix </w:t>
            </w:r>
            <w:r w:rsidR="00533EC2">
              <w:rPr>
                <w:rFonts w:cs="Arial"/>
              </w:rPr>
              <w:t>1</w:t>
            </w:r>
            <w:r w:rsidR="00533EC2" w:rsidRPr="006B1DE1">
              <w:rPr>
                <w:rFonts w:cs="Arial"/>
              </w:rPr>
              <w:t xml:space="preserve"> </w:t>
            </w:r>
            <w:r w:rsidR="00533EC2">
              <w:rPr>
                <w:rFonts w:cs="Arial"/>
              </w:rPr>
              <w:t xml:space="preserve">  </w:t>
            </w:r>
            <w:r w:rsidR="0032360F">
              <w:rPr>
                <w:rFonts w:cs="Arial"/>
              </w:rPr>
              <w:t xml:space="preserve"> </w:t>
            </w:r>
            <w:r w:rsidR="00B630A5">
              <w:rPr>
                <w:rFonts w:cs="Arial"/>
              </w:rPr>
              <w:t>Revenue Budget</w:t>
            </w:r>
            <w:r w:rsidR="00533EC2">
              <w:rPr>
                <w:rFonts w:cs="Arial"/>
              </w:rPr>
              <w:t xml:space="preserve"> S</w:t>
            </w:r>
            <w:r w:rsidR="006D5C47" w:rsidRPr="006D5C47">
              <w:rPr>
                <w:rFonts w:cs="Arial"/>
              </w:rPr>
              <w:t>ummary</w:t>
            </w:r>
            <w:r w:rsidR="002F6A03">
              <w:rPr>
                <w:rFonts w:cs="Arial"/>
              </w:rPr>
              <w:t xml:space="preserve"> </w:t>
            </w:r>
            <w:r w:rsidR="006D5C47" w:rsidRPr="006D5C47">
              <w:rPr>
                <w:rFonts w:cs="Arial"/>
              </w:rPr>
              <w:t>(Di</w:t>
            </w:r>
            <w:r w:rsidR="00533EC2">
              <w:rPr>
                <w:rFonts w:cs="Arial"/>
              </w:rPr>
              <w:t>visional</w:t>
            </w:r>
            <w:r w:rsidR="006D5C47" w:rsidRPr="006D5C47">
              <w:rPr>
                <w:rFonts w:cs="Arial"/>
              </w:rPr>
              <w:t>) as at 3</w:t>
            </w:r>
            <w:r w:rsidR="00EC0C4D">
              <w:rPr>
                <w:rFonts w:cs="Arial"/>
              </w:rPr>
              <w:t>0</w:t>
            </w:r>
            <w:r w:rsidR="00EC0C4D" w:rsidRPr="00BB0A57">
              <w:rPr>
                <w:rFonts w:cs="Arial"/>
                <w:vertAlign w:val="superscript"/>
              </w:rPr>
              <w:t>th</w:t>
            </w:r>
            <w:r w:rsidR="00EC0C4D">
              <w:rPr>
                <w:rFonts w:cs="Arial"/>
              </w:rPr>
              <w:t xml:space="preserve"> </w:t>
            </w:r>
            <w:r w:rsidR="009102CE">
              <w:rPr>
                <w:rFonts w:cs="Arial"/>
              </w:rPr>
              <w:t xml:space="preserve">June </w:t>
            </w:r>
            <w:r w:rsidR="009102CE" w:rsidRPr="006D5C47">
              <w:rPr>
                <w:rFonts w:cs="Arial"/>
              </w:rPr>
              <w:t>2017</w:t>
            </w:r>
            <w:r w:rsidR="006D5C47">
              <w:rPr>
                <w:rFonts w:cs="Arial"/>
              </w:rPr>
              <w:t>.</w:t>
            </w:r>
          </w:p>
          <w:p w14:paraId="1B5A9876" w14:textId="77777777" w:rsidR="0032360F" w:rsidRPr="006D5C47" w:rsidRDefault="0032360F" w:rsidP="00D55D81">
            <w:pPr>
              <w:ind w:left="1452" w:right="489" w:hanging="1452"/>
              <w:rPr>
                <w:rFonts w:cs="Arial"/>
              </w:rPr>
            </w:pPr>
          </w:p>
          <w:p w14:paraId="61984921" w14:textId="6D8A6F79" w:rsidR="00FF509C" w:rsidRPr="006B1DE1" w:rsidRDefault="006D5C47" w:rsidP="00BB0A57">
            <w:pPr>
              <w:ind w:left="1310" w:right="489" w:hanging="1310"/>
              <w:rPr>
                <w:rFonts w:cs="Arial"/>
              </w:rPr>
            </w:pPr>
            <w:r w:rsidRPr="006D5C47">
              <w:rPr>
                <w:rFonts w:cs="Arial"/>
              </w:rPr>
              <w:t xml:space="preserve">Appendix 2 </w:t>
            </w:r>
            <w:r w:rsidR="00533EC2">
              <w:rPr>
                <w:rFonts w:cs="Arial"/>
              </w:rPr>
              <w:t xml:space="preserve">   </w:t>
            </w:r>
            <w:r w:rsidR="00FF509C" w:rsidRPr="006B1DE1">
              <w:rPr>
                <w:rFonts w:cs="Arial"/>
              </w:rPr>
              <w:t>MTFS 201</w:t>
            </w:r>
            <w:r w:rsidR="00F865BD">
              <w:rPr>
                <w:rFonts w:cs="Arial"/>
              </w:rPr>
              <w:t>7</w:t>
            </w:r>
            <w:r w:rsidR="00FF509C" w:rsidRPr="006B1DE1">
              <w:rPr>
                <w:rFonts w:cs="Arial"/>
              </w:rPr>
              <w:t>/1</w:t>
            </w:r>
            <w:r w:rsidR="00F865BD">
              <w:rPr>
                <w:rFonts w:cs="Arial"/>
              </w:rPr>
              <w:t>8</w:t>
            </w:r>
            <w:r w:rsidR="00FF509C" w:rsidRPr="006B1DE1">
              <w:rPr>
                <w:rFonts w:cs="Arial"/>
              </w:rPr>
              <w:t xml:space="preserve"> to</w:t>
            </w:r>
            <w:r w:rsidR="00B40A0E">
              <w:rPr>
                <w:rFonts w:cs="Arial"/>
              </w:rPr>
              <w:t xml:space="preserve"> </w:t>
            </w:r>
            <w:r w:rsidR="00FF509C" w:rsidRPr="006B1DE1">
              <w:rPr>
                <w:rFonts w:cs="Arial"/>
              </w:rPr>
              <w:t>201</w:t>
            </w:r>
            <w:r w:rsidR="00E871FD">
              <w:rPr>
                <w:rFonts w:cs="Arial"/>
              </w:rPr>
              <w:t>9</w:t>
            </w:r>
            <w:r w:rsidR="00FF509C" w:rsidRPr="006B1DE1">
              <w:rPr>
                <w:rFonts w:cs="Arial"/>
              </w:rPr>
              <w:t>/</w:t>
            </w:r>
            <w:r w:rsidR="00E871FD">
              <w:rPr>
                <w:rFonts w:cs="Arial"/>
              </w:rPr>
              <w:t>20</w:t>
            </w:r>
          </w:p>
          <w:p w14:paraId="2A3A5E3E" w14:textId="7BEB1CA7" w:rsidR="00FF509C" w:rsidRDefault="00B630A5" w:rsidP="00D55D81">
            <w:pPr>
              <w:ind w:left="1593" w:right="489" w:hanging="1593"/>
              <w:rPr>
                <w:rFonts w:cs="Arial"/>
              </w:rPr>
            </w:pPr>
            <w:r>
              <w:rPr>
                <w:rFonts w:cs="Arial"/>
              </w:rPr>
              <w:t xml:space="preserve">                     </w:t>
            </w:r>
            <w:r w:rsidR="00533EC2">
              <w:rPr>
                <w:rFonts w:cs="Arial"/>
              </w:rPr>
              <w:t xml:space="preserve"> </w:t>
            </w:r>
            <w:r w:rsidR="00FF509C" w:rsidRPr="006B1DE1">
              <w:rPr>
                <w:rFonts w:cs="Arial"/>
              </w:rPr>
              <w:t>Savings Tracker</w:t>
            </w:r>
            <w:r w:rsidR="003C2EB7">
              <w:rPr>
                <w:rFonts w:cs="Arial"/>
              </w:rPr>
              <w:t>.</w:t>
            </w:r>
            <w:r w:rsidR="000C1A07">
              <w:rPr>
                <w:rFonts w:cs="Arial"/>
              </w:rPr>
              <w:t xml:space="preserve"> </w:t>
            </w:r>
          </w:p>
          <w:p w14:paraId="7D979B3D" w14:textId="77777777" w:rsidR="0032360F" w:rsidRDefault="0032360F" w:rsidP="00D55D81">
            <w:pPr>
              <w:ind w:left="1593" w:right="489" w:hanging="1593"/>
              <w:rPr>
                <w:rFonts w:cs="Arial"/>
              </w:rPr>
            </w:pPr>
          </w:p>
          <w:p w14:paraId="7FD87A72" w14:textId="422FB077" w:rsidR="00BF7A26" w:rsidRDefault="003D61E1" w:rsidP="00BB0A57">
            <w:pPr>
              <w:ind w:left="1310" w:right="489" w:hanging="1310"/>
              <w:rPr>
                <w:rFonts w:cs="Arial"/>
              </w:rPr>
            </w:pPr>
            <w:r>
              <w:rPr>
                <w:rFonts w:cs="Arial"/>
              </w:rPr>
              <w:t>Appendix</w:t>
            </w:r>
            <w:r w:rsidR="00533EC2">
              <w:rPr>
                <w:rFonts w:cs="Arial"/>
              </w:rPr>
              <w:t xml:space="preserve"> 3   Draw</w:t>
            </w:r>
            <w:r>
              <w:rPr>
                <w:rFonts w:cs="Arial"/>
              </w:rPr>
              <w:t xml:space="preserve"> Down</w:t>
            </w:r>
            <w:r w:rsidR="00B45A6C">
              <w:rPr>
                <w:rFonts w:cs="Arial"/>
              </w:rPr>
              <w:t xml:space="preserve"> from </w:t>
            </w:r>
            <w:r w:rsidR="002F6A03">
              <w:rPr>
                <w:rFonts w:cs="Arial"/>
              </w:rPr>
              <w:t xml:space="preserve">    </w:t>
            </w:r>
            <w:r>
              <w:rPr>
                <w:rFonts w:cs="Arial"/>
              </w:rPr>
              <w:t xml:space="preserve">/Contribution </w:t>
            </w:r>
            <w:r w:rsidR="00533EC2">
              <w:rPr>
                <w:rFonts w:cs="Arial"/>
              </w:rPr>
              <w:t xml:space="preserve">   </w:t>
            </w:r>
            <w:r w:rsidR="00C1490A">
              <w:rPr>
                <w:rFonts w:cs="Arial"/>
              </w:rPr>
              <w:t>to R</w:t>
            </w:r>
            <w:r w:rsidR="00533EC2">
              <w:rPr>
                <w:rFonts w:cs="Arial"/>
              </w:rPr>
              <w:t xml:space="preserve">eserves. </w:t>
            </w:r>
          </w:p>
          <w:p w14:paraId="23AF7259" w14:textId="77777777" w:rsidR="002F6A03" w:rsidRDefault="002F6A03" w:rsidP="00BB0A57">
            <w:pPr>
              <w:ind w:left="1593" w:right="489" w:hanging="1452"/>
              <w:rPr>
                <w:rFonts w:cs="Arial"/>
              </w:rPr>
            </w:pPr>
          </w:p>
          <w:p w14:paraId="562B029F" w14:textId="52A4EB1D" w:rsidR="00C9707A" w:rsidRDefault="00BF7A26" w:rsidP="00BB0A57">
            <w:pPr>
              <w:ind w:left="1452" w:right="489" w:hanging="1452"/>
              <w:rPr>
                <w:rFonts w:cs="Arial"/>
              </w:rPr>
            </w:pPr>
            <w:r>
              <w:rPr>
                <w:rFonts w:cs="Arial"/>
              </w:rPr>
              <w:t xml:space="preserve">Appendix 4    </w:t>
            </w:r>
            <w:r w:rsidR="00C9707A">
              <w:rPr>
                <w:rFonts w:cs="Arial"/>
              </w:rPr>
              <w:t>Capital Programme as at 30 June 2017.</w:t>
            </w:r>
          </w:p>
          <w:p w14:paraId="5D87561E" w14:textId="7F8A8777" w:rsidR="003D61E1" w:rsidRDefault="006C2029" w:rsidP="00BB0A57">
            <w:pPr>
              <w:ind w:left="1452" w:right="489" w:hanging="1452"/>
              <w:rPr>
                <w:rFonts w:cs="Arial"/>
              </w:rPr>
            </w:pPr>
            <w:r>
              <w:rPr>
                <w:rFonts w:cs="Arial"/>
              </w:rPr>
              <w:t xml:space="preserve"> </w:t>
            </w:r>
          </w:p>
          <w:p w14:paraId="40150001" w14:textId="1DE06FF3" w:rsidR="006C2029" w:rsidRPr="00BE1732" w:rsidRDefault="006C2029" w:rsidP="00BB0A57">
            <w:pPr>
              <w:ind w:left="1452" w:right="489" w:hanging="1452"/>
              <w:rPr>
                <w:rFonts w:cs="Arial"/>
              </w:rPr>
            </w:pPr>
            <w:r>
              <w:rPr>
                <w:rFonts w:cs="Arial"/>
              </w:rPr>
              <w:t xml:space="preserve">Appendix 5    </w:t>
            </w:r>
            <w:proofErr w:type="spellStart"/>
            <w:r w:rsidRPr="006C2029">
              <w:rPr>
                <w:rFonts w:cs="Arial"/>
              </w:rPr>
              <w:t>Concilium</w:t>
            </w:r>
            <w:proofErr w:type="spellEnd"/>
            <w:r w:rsidRPr="006C2029">
              <w:rPr>
                <w:rFonts w:cs="Arial"/>
              </w:rPr>
              <w:t xml:space="preserve"> Business Services Performance Report</w:t>
            </w:r>
            <w:r w:rsidR="005D2E4A">
              <w:rPr>
                <w:rFonts w:cs="Arial"/>
              </w:rPr>
              <w:t xml:space="preserve"> (Exempt – Part II)</w:t>
            </w:r>
          </w:p>
          <w:p w14:paraId="462D4E2A" w14:textId="77777777" w:rsidR="00EF3E22" w:rsidRDefault="00EF3E22" w:rsidP="00C61CE7">
            <w:pPr>
              <w:ind w:right="489"/>
              <w:rPr>
                <w:rFonts w:cs="Arial"/>
              </w:rPr>
            </w:pPr>
          </w:p>
          <w:p w14:paraId="2C4D4186" w14:textId="42F3C083" w:rsidR="00617488" w:rsidRPr="007635E6" w:rsidRDefault="00617488" w:rsidP="00C61CE7">
            <w:pPr>
              <w:ind w:right="489"/>
              <w:rPr>
                <w:rFonts w:cs="Arial"/>
              </w:rPr>
            </w:pPr>
          </w:p>
        </w:tc>
      </w:tr>
      <w:tr w:rsidR="00333FAA" w14:paraId="0515A286" w14:textId="77777777" w:rsidTr="00BE36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1" w:type="dxa"/>
        </w:trPr>
        <w:tc>
          <w:tcPr>
            <w:tcW w:w="8339" w:type="dxa"/>
            <w:gridSpan w:val="2"/>
            <w:tcBorders>
              <w:top w:val="nil"/>
              <w:left w:val="nil"/>
              <w:right w:val="nil"/>
            </w:tcBorders>
          </w:tcPr>
          <w:p w14:paraId="633279A7" w14:textId="77777777" w:rsidR="00333FAA" w:rsidRDefault="00333FAA" w:rsidP="00A53B04">
            <w:pPr>
              <w:pStyle w:val="Heading1"/>
            </w:pPr>
            <w:r>
              <w:lastRenderedPageBreak/>
              <w:t>Section 1 – Summary and Recommendations</w:t>
            </w:r>
          </w:p>
          <w:p w14:paraId="2271DC1A" w14:textId="77777777" w:rsidR="00333FAA" w:rsidRDefault="00333FAA" w:rsidP="00A53B04"/>
        </w:tc>
      </w:tr>
      <w:tr w:rsidR="00333FAA" w14:paraId="63D0B186" w14:textId="77777777" w:rsidTr="00C075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1" w:type="dxa"/>
          <w:trHeight w:val="5097"/>
        </w:trPr>
        <w:tc>
          <w:tcPr>
            <w:tcW w:w="8339" w:type="dxa"/>
            <w:gridSpan w:val="2"/>
          </w:tcPr>
          <w:p w14:paraId="2A089053" w14:textId="1A309AD9" w:rsidR="00333FAA" w:rsidRDefault="00333FAA" w:rsidP="00A53B04"/>
          <w:p w14:paraId="259588FC" w14:textId="0C41446B" w:rsidR="00FF509C" w:rsidRPr="00E6369A" w:rsidRDefault="0011741A" w:rsidP="00FF509C">
            <w:r w:rsidRPr="0011741A">
              <w:t>This report sets out the</w:t>
            </w:r>
            <w:r w:rsidR="00361B43" w:rsidRPr="00361B43">
              <w:t xml:space="preserve"> Council’s revenue monitoring position as at </w:t>
            </w:r>
            <w:r w:rsidR="00EC0C4D">
              <w:t>Quarter 1</w:t>
            </w:r>
            <w:r w:rsidR="00361B43" w:rsidRPr="00361B43">
              <w:t xml:space="preserve"> 2017/18 (3</w:t>
            </w:r>
            <w:r w:rsidR="00EC0C4D">
              <w:t>0</w:t>
            </w:r>
            <w:r w:rsidR="00EC0C4D" w:rsidRPr="00BB0A57">
              <w:rPr>
                <w:vertAlign w:val="superscript"/>
              </w:rPr>
              <w:t>th</w:t>
            </w:r>
            <w:r w:rsidR="00EC0C4D">
              <w:t xml:space="preserve"> June</w:t>
            </w:r>
            <w:r w:rsidR="00361B43" w:rsidRPr="00361B43">
              <w:t xml:space="preserve"> 2017)</w:t>
            </w:r>
            <w:r w:rsidR="00EC0C4D">
              <w:t>.</w:t>
            </w:r>
          </w:p>
          <w:p w14:paraId="74B4F44D" w14:textId="77777777" w:rsidR="00FF509C" w:rsidRPr="00E6369A" w:rsidRDefault="00FF509C" w:rsidP="00FF509C"/>
          <w:p w14:paraId="5D0D161F" w14:textId="77777777" w:rsidR="00FF509C" w:rsidRPr="00E6369A" w:rsidRDefault="00FF509C" w:rsidP="00FF509C">
            <w:pPr>
              <w:pStyle w:val="Heading2"/>
            </w:pPr>
            <w:r w:rsidRPr="00E6369A">
              <w:t xml:space="preserve">Recommendations: </w:t>
            </w:r>
          </w:p>
          <w:p w14:paraId="5A168F88" w14:textId="77777777" w:rsidR="00FF509C" w:rsidRPr="00E6369A" w:rsidRDefault="00FF509C" w:rsidP="00FF509C"/>
          <w:p w14:paraId="338699CB" w14:textId="51558793" w:rsidR="00BE1732" w:rsidRDefault="00361B43" w:rsidP="00173DA5">
            <w:pPr>
              <w:pStyle w:val="ListParagraph"/>
              <w:numPr>
                <w:ilvl w:val="0"/>
                <w:numId w:val="1"/>
              </w:numPr>
            </w:pPr>
            <w:r w:rsidRPr="00361B43">
              <w:t xml:space="preserve">Cabinet note the revenue forecast position detailed in this report as at </w:t>
            </w:r>
            <w:r w:rsidR="00EC0C4D">
              <w:t xml:space="preserve">Quarter </w:t>
            </w:r>
            <w:r w:rsidR="009102CE">
              <w:t>1</w:t>
            </w:r>
            <w:r w:rsidR="009102CE" w:rsidRPr="00361B43">
              <w:t xml:space="preserve"> 2017</w:t>
            </w:r>
            <w:r w:rsidRPr="00361B43">
              <w:t>/18</w:t>
            </w:r>
            <w:r w:rsidR="00116D84">
              <w:t>.</w:t>
            </w:r>
            <w:r>
              <w:t xml:space="preserve"> </w:t>
            </w:r>
          </w:p>
          <w:p w14:paraId="27FA4691" w14:textId="77777777" w:rsidR="00BE1732" w:rsidRDefault="00BE1732" w:rsidP="00BE1732">
            <w:pPr>
              <w:pStyle w:val="ListParagraph"/>
            </w:pPr>
          </w:p>
          <w:p w14:paraId="7C93BB87" w14:textId="7006FE9B" w:rsidR="0009207E" w:rsidRPr="00BF7A26" w:rsidRDefault="0002252A" w:rsidP="0009207E">
            <w:pPr>
              <w:pStyle w:val="ListParagraph"/>
              <w:numPr>
                <w:ilvl w:val="0"/>
                <w:numId w:val="1"/>
              </w:numPr>
            </w:pPr>
            <w:r w:rsidRPr="00BF7A26">
              <w:t>C</w:t>
            </w:r>
            <w:r w:rsidR="00BA52A2" w:rsidRPr="00BF7A26">
              <w:t xml:space="preserve">abinet approve </w:t>
            </w:r>
            <w:r w:rsidR="00FB408B" w:rsidRPr="00BF7A26">
              <w:t xml:space="preserve">the </w:t>
            </w:r>
            <w:r w:rsidR="00BE1732" w:rsidRPr="00BF7A26">
              <w:t>proposed addition</w:t>
            </w:r>
            <w:r w:rsidR="00381603">
              <w:t>s</w:t>
            </w:r>
            <w:r w:rsidR="00BE1732" w:rsidRPr="00BF7A26">
              <w:t xml:space="preserve"> to</w:t>
            </w:r>
            <w:r w:rsidR="004566B3" w:rsidRPr="00BF7A26">
              <w:t xml:space="preserve"> the</w:t>
            </w:r>
            <w:r w:rsidR="00BE1732" w:rsidRPr="00BF7A26">
              <w:t xml:space="preserve"> capital programme as </w:t>
            </w:r>
            <w:r w:rsidR="00BF7A26">
              <w:t xml:space="preserve">   </w:t>
            </w:r>
            <w:r w:rsidR="00BE1732" w:rsidRPr="00A7359D">
              <w:t>outlined in paragraphs</w:t>
            </w:r>
            <w:r w:rsidR="00FF5DC3" w:rsidRPr="00BF7A26">
              <w:t xml:space="preserve"> </w:t>
            </w:r>
            <w:r w:rsidR="00BF7A26" w:rsidRPr="00BB0A57">
              <w:t>3.</w:t>
            </w:r>
            <w:r w:rsidR="000D325B">
              <w:t>2</w:t>
            </w:r>
            <w:r w:rsidR="006107B2">
              <w:t>6</w:t>
            </w:r>
            <w:r w:rsidR="000D325B">
              <w:t xml:space="preserve"> to 3.3</w:t>
            </w:r>
            <w:r w:rsidR="006107B2">
              <w:t>0</w:t>
            </w:r>
            <w:r w:rsidR="002962D7">
              <w:t>.</w:t>
            </w:r>
          </w:p>
          <w:p w14:paraId="3ED15D15" w14:textId="77777777" w:rsidR="00520D2A" w:rsidRPr="00BB0A57" w:rsidRDefault="00520D2A" w:rsidP="00520D2A">
            <w:pPr>
              <w:pStyle w:val="ListParagraph"/>
              <w:rPr>
                <w:highlight w:val="yellow"/>
              </w:rPr>
            </w:pPr>
          </w:p>
          <w:p w14:paraId="130DF9B0" w14:textId="57627A71" w:rsidR="00BF7A26" w:rsidRDefault="00BF7A26" w:rsidP="0002252A">
            <w:pPr>
              <w:pStyle w:val="ListParagraph"/>
              <w:numPr>
                <w:ilvl w:val="0"/>
                <w:numId w:val="1"/>
              </w:numPr>
            </w:pPr>
            <w:r w:rsidRPr="00BB0A57">
              <w:t xml:space="preserve">Cabinet approve the proposed reduction to the capital programme </w:t>
            </w:r>
            <w:r w:rsidR="001E2D71" w:rsidRPr="00CF3608">
              <w:t>as outlined</w:t>
            </w:r>
            <w:r w:rsidRPr="00BB0A57">
              <w:t xml:space="preserve"> in paragraphs 3.</w:t>
            </w:r>
            <w:r w:rsidR="000D325B">
              <w:t>3</w:t>
            </w:r>
            <w:r w:rsidR="006107B2">
              <w:t>1</w:t>
            </w:r>
            <w:r w:rsidRPr="00BB0A57">
              <w:t>.</w:t>
            </w:r>
          </w:p>
          <w:p w14:paraId="21DB2F86" w14:textId="77777777" w:rsidR="000D325B" w:rsidRDefault="000D325B" w:rsidP="000D325B">
            <w:pPr>
              <w:pStyle w:val="ListParagraph"/>
            </w:pPr>
          </w:p>
          <w:p w14:paraId="3BE6D737" w14:textId="0453B5BD" w:rsidR="000D325B" w:rsidRDefault="00BA5BE0" w:rsidP="0002252A">
            <w:pPr>
              <w:pStyle w:val="ListParagraph"/>
              <w:numPr>
                <w:ilvl w:val="0"/>
                <w:numId w:val="1"/>
              </w:numPr>
            </w:pPr>
            <w:r>
              <w:t>Cabinet approve the</w:t>
            </w:r>
            <w:r w:rsidR="00E210B9">
              <w:t xml:space="preserve"> proposed </w:t>
            </w:r>
            <w:proofErr w:type="spellStart"/>
            <w:r w:rsidR="00E210B9">
              <w:t>vir</w:t>
            </w:r>
            <w:r w:rsidR="009102CE">
              <w:t>e</w:t>
            </w:r>
            <w:r w:rsidR="00E210B9">
              <w:t>ment</w:t>
            </w:r>
            <w:proofErr w:type="spellEnd"/>
            <w:r w:rsidR="00E210B9">
              <w:t xml:space="preserve"> to the capital programme as outlined in paragraph 3.3</w:t>
            </w:r>
            <w:r w:rsidR="006107B2">
              <w:t>2</w:t>
            </w:r>
            <w:r w:rsidR="00E210B9">
              <w:t>.</w:t>
            </w:r>
            <w:r>
              <w:t xml:space="preserve"> </w:t>
            </w:r>
          </w:p>
          <w:p w14:paraId="3E283496" w14:textId="77777777" w:rsidR="00EC7194" w:rsidRDefault="00EC7194" w:rsidP="00EC7194">
            <w:pPr>
              <w:pStyle w:val="ListParagraph"/>
            </w:pPr>
          </w:p>
          <w:p w14:paraId="3FE137E4" w14:textId="4BF24C96" w:rsidR="00EC7194" w:rsidRPr="00EC7194" w:rsidRDefault="00EC7194" w:rsidP="00EC7194">
            <w:pPr>
              <w:pStyle w:val="ListParagraph"/>
              <w:numPr>
                <w:ilvl w:val="0"/>
                <w:numId w:val="1"/>
              </w:numPr>
            </w:pPr>
            <w:r>
              <w:t>Cabinet note the quarter</w:t>
            </w:r>
            <w:r w:rsidRPr="00EC7194">
              <w:t xml:space="preserve"> </w:t>
            </w:r>
            <w:r w:rsidR="00403666">
              <w:t xml:space="preserve">1 </w:t>
            </w:r>
            <w:r w:rsidRPr="00EC7194">
              <w:t xml:space="preserve">performance report from </w:t>
            </w:r>
            <w:proofErr w:type="spellStart"/>
            <w:r w:rsidRPr="00EC7194">
              <w:t>Concilium</w:t>
            </w:r>
            <w:proofErr w:type="spellEnd"/>
            <w:r w:rsidRPr="00EC7194">
              <w:t xml:space="preserve"> Business Service as specified in Appendix 5 (Part II report).</w:t>
            </w:r>
          </w:p>
          <w:p w14:paraId="5CFBACFC" w14:textId="77777777" w:rsidR="00EC7194" w:rsidRPr="00BB0A57" w:rsidRDefault="00EC7194" w:rsidP="00EC7194">
            <w:pPr>
              <w:pStyle w:val="ListParagraph"/>
            </w:pPr>
          </w:p>
          <w:p w14:paraId="55B13C5D" w14:textId="77777777" w:rsidR="00BF7A26" w:rsidRPr="00A7359D" w:rsidRDefault="00BF7A26" w:rsidP="00BB0A57">
            <w:pPr>
              <w:pStyle w:val="ListParagraph"/>
              <w:rPr>
                <w:highlight w:val="yellow"/>
              </w:rPr>
            </w:pPr>
          </w:p>
          <w:p w14:paraId="37A6EA90" w14:textId="77777777" w:rsidR="00785D40" w:rsidRDefault="00785D40" w:rsidP="00785D40">
            <w:pPr>
              <w:pStyle w:val="ListParagraph"/>
            </w:pPr>
          </w:p>
          <w:p w14:paraId="1D0F13EA" w14:textId="26F5865C" w:rsidR="00FF509C" w:rsidRPr="00E6369A" w:rsidRDefault="00FF509C" w:rsidP="00FF509C">
            <w:pPr>
              <w:rPr>
                <w:b/>
                <w:sz w:val="28"/>
                <w:szCs w:val="28"/>
              </w:rPr>
            </w:pPr>
            <w:r w:rsidRPr="00E6369A">
              <w:rPr>
                <w:b/>
                <w:sz w:val="28"/>
                <w:szCs w:val="28"/>
              </w:rPr>
              <w:t>Reason:  (For recommendation)</w:t>
            </w:r>
          </w:p>
          <w:p w14:paraId="667BC136" w14:textId="75508CB4" w:rsidR="00333FAA" w:rsidRDefault="00A53151" w:rsidP="00FF509C">
            <w:r w:rsidRPr="0009207E">
              <w:t>To</w:t>
            </w:r>
            <w:r w:rsidRPr="00361B43">
              <w:t xml:space="preserve"> report</w:t>
            </w:r>
            <w:r w:rsidR="00361B43" w:rsidRPr="00361B43">
              <w:t xml:space="preserve"> the 2017/18 forecast financial position as at 3</w:t>
            </w:r>
            <w:r w:rsidR="00EC0C4D">
              <w:t>0</w:t>
            </w:r>
            <w:r w:rsidR="00EC0C4D" w:rsidRPr="00BB0A57">
              <w:rPr>
                <w:vertAlign w:val="superscript"/>
              </w:rPr>
              <w:t>th</w:t>
            </w:r>
            <w:r w:rsidR="00EC0C4D">
              <w:t xml:space="preserve"> </w:t>
            </w:r>
            <w:r w:rsidR="009102CE">
              <w:t xml:space="preserve">June </w:t>
            </w:r>
            <w:r w:rsidR="009102CE" w:rsidRPr="00361B43">
              <w:t>2017</w:t>
            </w:r>
            <w:r w:rsidR="004566B3">
              <w:t xml:space="preserve"> </w:t>
            </w:r>
            <w:r w:rsidR="00AD0C57">
              <w:t>and seek</w:t>
            </w:r>
            <w:r w:rsidR="0009207E">
              <w:t xml:space="preserve"> the </w:t>
            </w:r>
            <w:r w:rsidR="0096570D" w:rsidRPr="003E0DBB">
              <w:t>approval for</w:t>
            </w:r>
            <w:r w:rsidR="00C1490A">
              <w:t xml:space="preserve"> </w:t>
            </w:r>
            <w:r w:rsidR="00381603">
              <w:t>c</w:t>
            </w:r>
            <w:r w:rsidR="00C1490A">
              <w:t xml:space="preserve">apital </w:t>
            </w:r>
            <w:r w:rsidR="00381603">
              <w:t>p</w:t>
            </w:r>
            <w:r w:rsidR="00C1490A">
              <w:t>rogra</w:t>
            </w:r>
            <w:r w:rsidR="002C1AC5">
              <w:t>m</w:t>
            </w:r>
            <w:r w:rsidR="00C1490A">
              <w:t>me</w:t>
            </w:r>
            <w:r w:rsidR="0096570D" w:rsidRPr="003E0DBB">
              <w:t xml:space="preserve"> adjustments which re</w:t>
            </w:r>
            <w:r w:rsidR="00953298" w:rsidRPr="003E0DBB">
              <w:t>quire Cabinet approval in accordance with</w:t>
            </w:r>
            <w:r w:rsidR="0096570D" w:rsidRPr="003E0DBB">
              <w:t xml:space="preserve"> Financial Regulations.</w:t>
            </w:r>
          </w:p>
          <w:p w14:paraId="34B02037" w14:textId="77777777" w:rsidR="00333FAA" w:rsidRDefault="00333FAA" w:rsidP="00A53B04">
            <w:pPr>
              <w:jc w:val="both"/>
              <w:rPr>
                <w:rFonts w:cs="Arial"/>
              </w:rPr>
            </w:pPr>
          </w:p>
        </w:tc>
      </w:tr>
    </w:tbl>
    <w:p w14:paraId="380862F1" w14:textId="77777777" w:rsidR="001B5724" w:rsidRDefault="001B5724" w:rsidP="00DA6F37"/>
    <w:p w14:paraId="585673FD" w14:textId="77777777" w:rsidR="00617488" w:rsidRDefault="00617488" w:rsidP="00DA6F37"/>
    <w:p w14:paraId="07AC8E59" w14:textId="77777777" w:rsidR="00617488" w:rsidRDefault="00617488" w:rsidP="00DA6F37"/>
    <w:p w14:paraId="01DDB338" w14:textId="77777777" w:rsidR="00617488" w:rsidRDefault="00617488" w:rsidP="00DA6F37"/>
    <w:p w14:paraId="31311860" w14:textId="77777777" w:rsidR="00617488" w:rsidRDefault="00617488" w:rsidP="00DA6F37"/>
    <w:p w14:paraId="4380FB16" w14:textId="77777777" w:rsidR="00617488" w:rsidRDefault="00617488" w:rsidP="00DA6F37"/>
    <w:p w14:paraId="34C883E7" w14:textId="77777777" w:rsidR="001B5724" w:rsidRDefault="001B5724" w:rsidP="00DA6F37"/>
    <w:p w14:paraId="0B791248" w14:textId="77777777" w:rsidR="001B5724" w:rsidRDefault="001B5724" w:rsidP="00DA6F37"/>
    <w:p w14:paraId="3EBF1412" w14:textId="77777777" w:rsidR="001B5724" w:rsidRDefault="001B5724" w:rsidP="00DA6F37"/>
    <w:p w14:paraId="4371CE0E" w14:textId="77777777" w:rsidR="001B5724" w:rsidRPr="00DA6F37" w:rsidRDefault="001B5724" w:rsidP="00DA6F37"/>
    <w:p w14:paraId="5CFE2BF1" w14:textId="77777777" w:rsidR="00741AEB" w:rsidRDefault="00741AEB" w:rsidP="00741AEB">
      <w:pPr>
        <w:pStyle w:val="Heading1"/>
      </w:pPr>
      <w:r w:rsidRPr="006B1DE1">
        <w:lastRenderedPageBreak/>
        <w:t>Section 2 – Report</w:t>
      </w:r>
    </w:p>
    <w:p w14:paraId="1DE891AC" w14:textId="77777777" w:rsidR="004F7602" w:rsidRDefault="004F7602" w:rsidP="00AF1127"/>
    <w:p w14:paraId="7E293425" w14:textId="77777777" w:rsidR="00D258AC" w:rsidRPr="00835EA0" w:rsidRDefault="00FA5D52" w:rsidP="00404B4F">
      <w:pPr>
        <w:pStyle w:val="ListParagraph"/>
        <w:keepNext/>
        <w:numPr>
          <w:ilvl w:val="1"/>
          <w:numId w:val="3"/>
        </w:numPr>
        <w:spacing w:after="240"/>
        <w:ind w:left="363" w:hanging="505"/>
        <w:jc w:val="both"/>
        <w:outlineLvl w:val="1"/>
        <w:rPr>
          <w:rFonts w:cs="Arial"/>
          <w:b/>
          <w:bCs/>
          <w:kern w:val="32"/>
          <w:sz w:val="28"/>
          <w:szCs w:val="28"/>
          <w:u w:val="single"/>
        </w:rPr>
      </w:pPr>
      <w:r w:rsidRPr="00835EA0">
        <w:rPr>
          <w:rFonts w:cs="Arial"/>
          <w:b/>
          <w:bCs/>
          <w:kern w:val="32"/>
          <w:sz w:val="28"/>
          <w:szCs w:val="28"/>
          <w:u w:val="single"/>
        </w:rPr>
        <w:t>INTRODUCTION</w:t>
      </w:r>
    </w:p>
    <w:p w14:paraId="145D74AF" w14:textId="29518469" w:rsidR="004049E4" w:rsidRDefault="004049E4" w:rsidP="00404B4F">
      <w:pPr>
        <w:pStyle w:val="ListParagraph"/>
        <w:numPr>
          <w:ilvl w:val="1"/>
          <w:numId w:val="51"/>
        </w:numPr>
        <w:ind w:left="851" w:hanging="851"/>
        <w:jc w:val="both"/>
      </w:pPr>
      <w:r w:rsidRPr="004049E4">
        <w:t xml:space="preserve">The net forecast position as at </w:t>
      </w:r>
      <w:r w:rsidR="005B671D">
        <w:t>Quarter 1</w:t>
      </w:r>
      <w:r w:rsidRPr="004049E4">
        <w:t xml:space="preserve"> (3</w:t>
      </w:r>
      <w:r w:rsidR="005B671D">
        <w:t>0</w:t>
      </w:r>
      <w:r w:rsidR="005B671D" w:rsidRPr="00BB0A57">
        <w:rPr>
          <w:vertAlign w:val="superscript"/>
        </w:rPr>
        <w:t>th</w:t>
      </w:r>
      <w:r w:rsidR="005B671D">
        <w:t xml:space="preserve"> June </w:t>
      </w:r>
      <w:r w:rsidRPr="004049E4">
        <w:t xml:space="preserve">2017) on the revenue budget is </w:t>
      </w:r>
      <w:r w:rsidR="00DA71DF">
        <w:t xml:space="preserve">showing a </w:t>
      </w:r>
      <w:r w:rsidR="009102CE">
        <w:t xml:space="preserve">balanced </w:t>
      </w:r>
      <w:r w:rsidR="009102CE" w:rsidRPr="004049E4">
        <w:t>position</w:t>
      </w:r>
      <w:r w:rsidR="00381603">
        <w:t>.</w:t>
      </w:r>
      <w:r w:rsidRPr="004049E4">
        <w:t xml:space="preserve">  </w:t>
      </w:r>
      <w:r w:rsidR="00A95580">
        <w:t xml:space="preserve">Resources and Commercial, </w:t>
      </w:r>
      <w:r w:rsidRPr="004049E4">
        <w:t xml:space="preserve">Community, Adults, Public </w:t>
      </w:r>
      <w:r w:rsidR="00C1490A">
        <w:t xml:space="preserve">Health and Regeneration </w:t>
      </w:r>
      <w:r w:rsidRPr="004049E4">
        <w:t>are all forecasting a balanced budget posit</w:t>
      </w:r>
      <w:r w:rsidR="00BE09C5">
        <w:t xml:space="preserve">ion. </w:t>
      </w:r>
      <w:r w:rsidR="00A95580">
        <w:t>T</w:t>
      </w:r>
      <w:r w:rsidR="00BE09C5">
        <w:t>he Children</w:t>
      </w:r>
      <w:r w:rsidR="00A53151">
        <w:t>’s</w:t>
      </w:r>
      <w:r w:rsidR="00BE09C5">
        <w:t xml:space="preserve"> division</w:t>
      </w:r>
      <w:r w:rsidRPr="004049E4">
        <w:t xml:space="preserve"> is forecasting </w:t>
      </w:r>
      <w:r w:rsidR="009102CE">
        <w:t xml:space="preserve">demand </w:t>
      </w:r>
      <w:r w:rsidR="009102CE" w:rsidRPr="004049E4">
        <w:t>pressures</w:t>
      </w:r>
      <w:r w:rsidRPr="004049E4">
        <w:t xml:space="preserve"> estimated at £</w:t>
      </w:r>
      <w:r w:rsidR="00A66EE4">
        <w:t>3.</w:t>
      </w:r>
      <w:r w:rsidR="002962D7">
        <w:t>6</w:t>
      </w:r>
      <w:r w:rsidRPr="004049E4">
        <w:t>m</w:t>
      </w:r>
      <w:r w:rsidR="00A53151">
        <w:t>,</w:t>
      </w:r>
      <w:r w:rsidR="00CC4968">
        <w:t xml:space="preserve"> a reduction of £549k from period 2.</w:t>
      </w:r>
      <w:r w:rsidR="00B22532">
        <w:t xml:space="preserve"> </w:t>
      </w:r>
      <w:r w:rsidRPr="004049E4">
        <w:t xml:space="preserve">These are fully mitigated through the receipt of </w:t>
      </w:r>
      <w:r w:rsidR="007F43DF">
        <w:t>a</w:t>
      </w:r>
      <w:r w:rsidRPr="004049E4">
        <w:t xml:space="preserve">dditional income </w:t>
      </w:r>
      <w:r w:rsidR="00AC3718">
        <w:t xml:space="preserve">notified after budget setting, </w:t>
      </w:r>
      <w:r w:rsidR="00A53151">
        <w:t>corporate</w:t>
      </w:r>
      <w:r w:rsidRPr="004049E4">
        <w:t xml:space="preserve"> items</w:t>
      </w:r>
      <w:r w:rsidR="00A95580">
        <w:t xml:space="preserve"> </w:t>
      </w:r>
      <w:r w:rsidR="009102CE">
        <w:t>and the</w:t>
      </w:r>
      <w:r w:rsidRPr="004049E4">
        <w:t xml:space="preserve"> implementation of </w:t>
      </w:r>
      <w:r w:rsidR="00A53151">
        <w:t xml:space="preserve">a </w:t>
      </w:r>
      <w:r w:rsidRPr="004049E4">
        <w:t xml:space="preserve">spending control </w:t>
      </w:r>
      <w:r w:rsidR="00A95580">
        <w:t xml:space="preserve">freeze </w:t>
      </w:r>
      <w:r w:rsidRPr="004049E4">
        <w:t>across the organisation</w:t>
      </w:r>
      <w:r>
        <w:t>.</w:t>
      </w:r>
    </w:p>
    <w:p w14:paraId="05DDA8C0" w14:textId="77777777" w:rsidR="00AC0A97" w:rsidRDefault="00AC0A97" w:rsidP="00404B4F">
      <w:pPr>
        <w:pStyle w:val="ListParagraph"/>
        <w:ind w:left="851"/>
        <w:jc w:val="both"/>
      </w:pPr>
    </w:p>
    <w:p w14:paraId="4D62E494" w14:textId="29710217" w:rsidR="00564FB0" w:rsidRDefault="00564FB0" w:rsidP="00404B4F">
      <w:pPr>
        <w:pStyle w:val="ListParagraph"/>
        <w:numPr>
          <w:ilvl w:val="1"/>
          <w:numId w:val="51"/>
        </w:numPr>
        <w:ind w:left="851" w:hanging="851"/>
        <w:jc w:val="both"/>
      </w:pPr>
      <w:r w:rsidRPr="002962D7">
        <w:t>The capital programme</w:t>
      </w:r>
      <w:r>
        <w:t xml:space="preserve"> is report</w:t>
      </w:r>
      <w:r w:rsidR="00AC34B2">
        <w:t>ing a forecast spend of £135.</w:t>
      </w:r>
      <w:r w:rsidR="007F3FCE">
        <w:t>9</w:t>
      </w:r>
      <w:r w:rsidR="00AC0A97">
        <w:t>59</w:t>
      </w:r>
      <w:r>
        <w:t>m against a budget of £222.795</w:t>
      </w:r>
      <w:r w:rsidRPr="002962D7">
        <w:t>m.  This represents a total forecast spen</w:t>
      </w:r>
      <w:r>
        <w:t xml:space="preserve">d </w:t>
      </w:r>
      <w:r w:rsidRPr="004D572C">
        <w:t>of 6</w:t>
      </w:r>
      <w:r w:rsidR="004D572C" w:rsidRPr="004D572C">
        <w:t>1</w:t>
      </w:r>
      <w:r w:rsidRPr="004D572C">
        <w:t>%.</w:t>
      </w:r>
      <w:r w:rsidRPr="002962D7">
        <w:t xml:space="preserve"> In terms of general fund capital</w:t>
      </w:r>
      <w:r>
        <w:t xml:space="preserve">, there is </w:t>
      </w:r>
      <w:r w:rsidR="009102CE">
        <w:t>a forecast underspends</w:t>
      </w:r>
      <w:r w:rsidR="00A52A82">
        <w:t xml:space="preserve"> </w:t>
      </w:r>
      <w:r w:rsidR="00D85184">
        <w:t xml:space="preserve">of </w:t>
      </w:r>
      <w:r w:rsidR="00A52A82">
        <w:t>(</w:t>
      </w:r>
      <w:r w:rsidR="00D85184">
        <w:t>£7</w:t>
      </w:r>
      <w:r w:rsidR="007F3FCE">
        <w:t>5.3</w:t>
      </w:r>
      <w:r w:rsidR="00A52A82">
        <w:t xml:space="preserve">m) </w:t>
      </w:r>
      <w:r w:rsidRPr="002962D7">
        <w:t>of which £</w:t>
      </w:r>
      <w:r w:rsidR="007F3FCE">
        <w:t>57.8</w:t>
      </w:r>
      <w:r w:rsidR="008D40B0">
        <w:t>98</w:t>
      </w:r>
      <w:r w:rsidRPr="002962D7">
        <w:t>m is r</w:t>
      </w:r>
      <w:r>
        <w:t>equested for slippage into 20</w:t>
      </w:r>
      <w:r w:rsidRPr="002962D7">
        <w:t>18</w:t>
      </w:r>
      <w:r>
        <w:t>/19</w:t>
      </w:r>
      <w:r w:rsidR="00AC34B2">
        <w:t xml:space="preserve">, </w:t>
      </w:r>
      <w:r w:rsidR="00AD0C57">
        <w:t>£</w:t>
      </w:r>
      <w:r w:rsidR="00AC34B2">
        <w:t xml:space="preserve">1m </w:t>
      </w:r>
      <w:r w:rsidR="00AD0C57">
        <w:t xml:space="preserve">is to be </w:t>
      </w:r>
      <w:r w:rsidR="00AC34B2">
        <w:t>reallocate</w:t>
      </w:r>
      <w:r w:rsidR="00AD0C57">
        <w:t>d</w:t>
      </w:r>
      <w:r w:rsidR="00AC34B2">
        <w:t xml:space="preserve"> to other projects and</w:t>
      </w:r>
      <w:r w:rsidRPr="002962D7">
        <w:t xml:space="preserve"> £</w:t>
      </w:r>
      <w:r>
        <w:t>1</w:t>
      </w:r>
      <w:r w:rsidR="00D85184">
        <w:t>6</w:t>
      </w:r>
      <w:r>
        <w:t>.</w:t>
      </w:r>
      <w:r w:rsidR="00403666">
        <w:t>425</w:t>
      </w:r>
      <w:r>
        <w:t>m</w:t>
      </w:r>
      <w:r w:rsidRPr="002962D7">
        <w:t xml:space="preserve"> can be removed from the </w:t>
      </w:r>
      <w:r w:rsidR="00AC34B2">
        <w:t>Capital P</w:t>
      </w:r>
      <w:r w:rsidRPr="002962D7">
        <w:t>rogramme</w:t>
      </w:r>
      <w:r w:rsidR="00A52A82">
        <w:t>. For the Housing Revenue Account</w:t>
      </w:r>
      <w:r w:rsidRPr="002962D7">
        <w:t xml:space="preserve">, </w:t>
      </w:r>
      <w:proofErr w:type="gramStart"/>
      <w:r w:rsidRPr="002962D7">
        <w:t>an</w:t>
      </w:r>
      <w:r w:rsidR="005330B4">
        <w:t xml:space="preserve"> </w:t>
      </w:r>
      <w:r w:rsidRPr="002962D7">
        <w:t>underspend</w:t>
      </w:r>
      <w:proofErr w:type="gramEnd"/>
      <w:r w:rsidRPr="002962D7">
        <w:t xml:space="preserve"> of </w:t>
      </w:r>
      <w:r w:rsidR="00A52A82">
        <w:t>(</w:t>
      </w:r>
      <w:r w:rsidRPr="002962D7">
        <w:t>£1</w:t>
      </w:r>
      <w:r>
        <w:t>1.513m</w:t>
      </w:r>
      <w:r w:rsidR="00A52A82">
        <w:t>)</w:t>
      </w:r>
      <w:r>
        <w:t xml:space="preserve"> is forecast which is requested for slippage into 2018/19.</w:t>
      </w:r>
    </w:p>
    <w:p w14:paraId="55278EF8" w14:textId="77777777" w:rsidR="00564FB0" w:rsidRDefault="00564FB0" w:rsidP="00404B4F">
      <w:pPr>
        <w:pStyle w:val="ListParagraph"/>
        <w:ind w:left="851"/>
        <w:jc w:val="both"/>
      </w:pPr>
    </w:p>
    <w:p w14:paraId="00CDE4A5" w14:textId="1871EFC7" w:rsidR="003D61E1" w:rsidRDefault="00EC0C4D" w:rsidP="00404B4F">
      <w:pPr>
        <w:spacing w:after="240"/>
        <w:ind w:left="709"/>
        <w:jc w:val="both"/>
      </w:pPr>
      <w:r w:rsidRPr="004049E4" w:rsidDel="00EC0C4D">
        <w:t xml:space="preserve"> </w:t>
      </w:r>
      <w:r w:rsidR="00953298">
        <w:t>(Please note</w:t>
      </w:r>
      <w:r w:rsidR="00D325FE">
        <w:t>,</w:t>
      </w:r>
      <w:r w:rsidR="00953298">
        <w:t xml:space="preserve"> </w:t>
      </w:r>
      <w:r w:rsidR="00D325FE">
        <w:t>all number in brackets relates to income/underspends)</w:t>
      </w:r>
    </w:p>
    <w:p w14:paraId="23D6EF29" w14:textId="660854B8" w:rsidR="00A54694" w:rsidRPr="00CC4A15" w:rsidRDefault="008717CF" w:rsidP="00061DF9">
      <w:pPr>
        <w:pStyle w:val="ListParagraph"/>
        <w:keepNext/>
        <w:ind w:left="780"/>
        <w:outlineLvl w:val="1"/>
        <w:rPr>
          <w:bCs/>
        </w:rPr>
      </w:pPr>
      <w:r>
        <w:rPr>
          <w:bCs/>
        </w:rPr>
        <w:t xml:space="preserve">  </w:t>
      </w:r>
      <w:r w:rsidR="00D3333D">
        <w:rPr>
          <w:bCs/>
        </w:rPr>
        <w:t xml:space="preserve"> </w:t>
      </w:r>
    </w:p>
    <w:p w14:paraId="366A4BC4" w14:textId="61E500C1" w:rsidR="007D291B" w:rsidRDefault="00741AEB" w:rsidP="00BB0A57">
      <w:pPr>
        <w:pStyle w:val="ListParagraph"/>
        <w:keepNext/>
        <w:numPr>
          <w:ilvl w:val="2"/>
          <w:numId w:val="13"/>
        </w:numPr>
        <w:ind w:left="426" w:hanging="568"/>
        <w:outlineLvl w:val="1"/>
        <w:rPr>
          <w:rFonts w:cs="Arial"/>
          <w:b/>
          <w:bCs/>
          <w:kern w:val="32"/>
          <w:sz w:val="28"/>
          <w:szCs w:val="28"/>
          <w:u w:val="single"/>
        </w:rPr>
      </w:pPr>
      <w:r w:rsidRPr="00220F2C">
        <w:rPr>
          <w:rFonts w:cs="Arial"/>
          <w:b/>
          <w:bCs/>
          <w:kern w:val="32"/>
          <w:sz w:val="28"/>
          <w:szCs w:val="28"/>
          <w:u w:val="single"/>
        </w:rPr>
        <w:t>REVENUE MONITORING</w:t>
      </w:r>
    </w:p>
    <w:p w14:paraId="0FEA506F" w14:textId="77777777" w:rsidR="007F43DF" w:rsidRDefault="007F43DF" w:rsidP="002F46B7">
      <w:pPr>
        <w:ind w:left="862"/>
        <w:jc w:val="both"/>
        <w:rPr>
          <w:bCs/>
        </w:rPr>
      </w:pPr>
    </w:p>
    <w:p w14:paraId="621D2C0D" w14:textId="0DF971E6" w:rsidR="00D258AC" w:rsidRPr="00F92234" w:rsidRDefault="002F46B7" w:rsidP="00404B4F">
      <w:pPr>
        <w:pStyle w:val="ListParagraph"/>
        <w:numPr>
          <w:ilvl w:val="0"/>
          <w:numId w:val="13"/>
        </w:numPr>
        <w:tabs>
          <w:tab w:val="left" w:pos="709"/>
        </w:tabs>
        <w:ind w:left="709" w:hanging="709"/>
        <w:jc w:val="both"/>
      </w:pPr>
      <w:r w:rsidRPr="0032259C">
        <w:rPr>
          <w:bCs/>
        </w:rPr>
        <w:t xml:space="preserve">The </w:t>
      </w:r>
      <w:r w:rsidR="00462020" w:rsidRPr="00A7359D">
        <w:rPr>
          <w:bCs/>
        </w:rPr>
        <w:t>r</w:t>
      </w:r>
      <w:r w:rsidR="00DD3C11" w:rsidRPr="00385924">
        <w:rPr>
          <w:bCs/>
        </w:rPr>
        <w:t xml:space="preserve">evenue forecast position </w:t>
      </w:r>
      <w:r w:rsidRPr="00222566">
        <w:rPr>
          <w:bCs/>
        </w:rPr>
        <w:t xml:space="preserve">at </w:t>
      </w:r>
      <w:r w:rsidR="00A66EE4" w:rsidRPr="00DA71DF">
        <w:rPr>
          <w:bCs/>
        </w:rPr>
        <w:t>Quarter</w:t>
      </w:r>
      <w:r w:rsidR="00221287" w:rsidRPr="001926C5">
        <w:rPr>
          <w:bCs/>
        </w:rPr>
        <w:t xml:space="preserve"> </w:t>
      </w:r>
      <w:r w:rsidR="00A66EE4" w:rsidRPr="00A53151">
        <w:rPr>
          <w:bCs/>
        </w:rPr>
        <w:t>1</w:t>
      </w:r>
      <w:r w:rsidR="00221287" w:rsidRPr="00A53151">
        <w:rPr>
          <w:bCs/>
        </w:rPr>
        <w:t xml:space="preserve"> </w:t>
      </w:r>
      <w:r w:rsidR="00061DF9" w:rsidRPr="00F92234">
        <w:rPr>
          <w:bCs/>
        </w:rPr>
        <w:t>(</w:t>
      </w:r>
      <w:r w:rsidR="00290F93" w:rsidRPr="00F92234">
        <w:rPr>
          <w:bCs/>
        </w:rPr>
        <w:t>3</w:t>
      </w:r>
      <w:r w:rsidR="00A66EE4" w:rsidRPr="00F92234">
        <w:rPr>
          <w:bCs/>
        </w:rPr>
        <w:t>0</w:t>
      </w:r>
      <w:r w:rsidR="00A66EE4" w:rsidRPr="00BB0A57">
        <w:rPr>
          <w:bCs/>
          <w:vertAlign w:val="superscript"/>
        </w:rPr>
        <w:t>th</w:t>
      </w:r>
      <w:r w:rsidR="00A66EE4" w:rsidRPr="0032259C">
        <w:rPr>
          <w:bCs/>
        </w:rPr>
        <w:t xml:space="preserve"> </w:t>
      </w:r>
      <w:r w:rsidR="00A66EE4" w:rsidRPr="00222566">
        <w:rPr>
          <w:bCs/>
        </w:rPr>
        <w:t>June</w:t>
      </w:r>
      <w:r w:rsidR="00061DF9" w:rsidRPr="0026369E">
        <w:rPr>
          <w:bCs/>
        </w:rPr>
        <w:t xml:space="preserve"> 2017) </w:t>
      </w:r>
      <w:r w:rsidRPr="00A53151">
        <w:rPr>
          <w:bCs/>
        </w:rPr>
        <w:t xml:space="preserve">is </w:t>
      </w:r>
      <w:r w:rsidR="00C8079C" w:rsidRPr="00A53151">
        <w:rPr>
          <w:bCs/>
        </w:rPr>
        <w:t xml:space="preserve">showing </w:t>
      </w:r>
      <w:r w:rsidR="00DA71DF">
        <w:rPr>
          <w:bCs/>
        </w:rPr>
        <w:t xml:space="preserve">a balanced position </w:t>
      </w:r>
      <w:r w:rsidRPr="00DA71DF">
        <w:rPr>
          <w:bCs/>
        </w:rPr>
        <w:t>a</w:t>
      </w:r>
      <w:r w:rsidR="00A95580">
        <w:rPr>
          <w:bCs/>
        </w:rPr>
        <w:t xml:space="preserve">fter a </w:t>
      </w:r>
      <w:r w:rsidRPr="00A7359D">
        <w:rPr>
          <w:bCs/>
        </w:rPr>
        <w:t>draw down from reserve</w:t>
      </w:r>
      <w:r w:rsidR="00B40A0E" w:rsidRPr="00385924">
        <w:rPr>
          <w:bCs/>
        </w:rPr>
        <w:t>s</w:t>
      </w:r>
      <w:r w:rsidRPr="00222566">
        <w:rPr>
          <w:bCs/>
        </w:rPr>
        <w:t xml:space="preserve"> of £</w:t>
      </w:r>
      <w:r w:rsidR="00A95580">
        <w:rPr>
          <w:bCs/>
        </w:rPr>
        <w:t>2.484</w:t>
      </w:r>
      <w:r w:rsidRPr="00222566">
        <w:rPr>
          <w:bCs/>
        </w:rPr>
        <w:t>m</w:t>
      </w:r>
      <w:r w:rsidR="00462020" w:rsidRPr="00DA71DF">
        <w:rPr>
          <w:bCs/>
        </w:rPr>
        <w:t>,</w:t>
      </w:r>
      <w:r w:rsidR="003D61E1" w:rsidRPr="001926C5">
        <w:rPr>
          <w:bCs/>
        </w:rPr>
        <w:t xml:space="preserve"> as detaile</w:t>
      </w:r>
      <w:r w:rsidR="00D71F83" w:rsidRPr="0026369E">
        <w:rPr>
          <w:bCs/>
        </w:rPr>
        <w:t>d in appendix 3</w:t>
      </w:r>
      <w:r w:rsidR="00007960" w:rsidRPr="00A53151">
        <w:rPr>
          <w:bCs/>
        </w:rPr>
        <w:t>, the</w:t>
      </w:r>
      <w:r w:rsidRPr="00A53151">
        <w:rPr>
          <w:bCs/>
        </w:rPr>
        <w:t xml:space="preserve"> use of </w:t>
      </w:r>
      <w:r w:rsidR="007F43DF" w:rsidRPr="00F92234">
        <w:rPr>
          <w:bCs/>
        </w:rPr>
        <w:t>C</w:t>
      </w:r>
      <w:r w:rsidRPr="00F92234">
        <w:rPr>
          <w:bCs/>
        </w:rPr>
        <w:t>orporate budget</w:t>
      </w:r>
      <w:r w:rsidR="00462020" w:rsidRPr="00F92234">
        <w:rPr>
          <w:bCs/>
        </w:rPr>
        <w:t>s</w:t>
      </w:r>
      <w:r w:rsidRPr="00F92234">
        <w:rPr>
          <w:bCs/>
        </w:rPr>
        <w:t xml:space="preserve"> of £</w:t>
      </w:r>
      <w:r w:rsidR="00AF5EBA">
        <w:rPr>
          <w:bCs/>
        </w:rPr>
        <w:t>2.235</w:t>
      </w:r>
      <w:r w:rsidRPr="00DA71DF">
        <w:rPr>
          <w:bCs/>
        </w:rPr>
        <w:t>m</w:t>
      </w:r>
      <w:r w:rsidR="00C8079C" w:rsidRPr="001926C5">
        <w:rPr>
          <w:bCs/>
        </w:rPr>
        <w:t xml:space="preserve"> and £1.</w:t>
      </w:r>
      <w:r w:rsidR="00A66EE4" w:rsidRPr="0026369E">
        <w:rPr>
          <w:bCs/>
        </w:rPr>
        <w:t>325</w:t>
      </w:r>
      <w:r w:rsidR="00C8079C" w:rsidRPr="00A53151">
        <w:rPr>
          <w:bCs/>
        </w:rPr>
        <w:t>m of spending controls</w:t>
      </w:r>
      <w:r w:rsidR="00D258AC" w:rsidRPr="00F92234">
        <w:rPr>
          <w:bCs/>
        </w:rPr>
        <w:t>.</w:t>
      </w:r>
      <w:r w:rsidR="00061DF9" w:rsidRPr="00F92234">
        <w:rPr>
          <w:bCs/>
        </w:rPr>
        <w:t xml:space="preserve"> </w:t>
      </w:r>
      <w:r w:rsidR="004B3306" w:rsidRPr="00F92234">
        <w:rPr>
          <w:bCs/>
        </w:rPr>
        <w:t>The forecast</w:t>
      </w:r>
      <w:r w:rsidR="00061DF9" w:rsidRPr="00F92234">
        <w:rPr>
          <w:bCs/>
        </w:rPr>
        <w:t xml:space="preserve"> by</w:t>
      </w:r>
      <w:r w:rsidR="00D71F83" w:rsidRPr="00F92234">
        <w:rPr>
          <w:bCs/>
        </w:rPr>
        <w:t xml:space="preserve"> di</w:t>
      </w:r>
      <w:r w:rsidR="00072547" w:rsidRPr="00F92234">
        <w:rPr>
          <w:bCs/>
        </w:rPr>
        <w:t>vision is detailed in appendix 1</w:t>
      </w:r>
      <w:r w:rsidR="00D71F83" w:rsidRPr="00F92234">
        <w:rPr>
          <w:bCs/>
        </w:rPr>
        <w:t>.</w:t>
      </w:r>
    </w:p>
    <w:p w14:paraId="06AFB1E8" w14:textId="77777777" w:rsidR="00AD0C57" w:rsidRPr="00F92234" w:rsidRDefault="00AD0C57" w:rsidP="00BB0A57">
      <w:pPr>
        <w:pStyle w:val="ListParagraph"/>
        <w:ind w:left="851"/>
        <w:jc w:val="both"/>
      </w:pPr>
    </w:p>
    <w:p w14:paraId="28B9F6A2" w14:textId="5F6332C6" w:rsidR="009A3522" w:rsidRPr="00A7359D" w:rsidRDefault="00AF5EBA" w:rsidP="00404B4F">
      <w:pPr>
        <w:pStyle w:val="ListParagraph"/>
        <w:numPr>
          <w:ilvl w:val="0"/>
          <w:numId w:val="69"/>
        </w:numPr>
        <w:ind w:left="709" w:hanging="709"/>
        <w:jc w:val="both"/>
      </w:pPr>
      <w:r>
        <w:rPr>
          <w:bCs/>
        </w:rPr>
        <w:t xml:space="preserve">Assumed in the balanced position above is </w:t>
      </w:r>
      <w:r w:rsidR="009102CE">
        <w:rPr>
          <w:bCs/>
        </w:rPr>
        <w:t xml:space="preserve">the use of </w:t>
      </w:r>
      <w:r w:rsidR="009A3522">
        <w:rPr>
          <w:bCs/>
        </w:rPr>
        <w:t xml:space="preserve">£3.039m </w:t>
      </w:r>
      <w:r>
        <w:rPr>
          <w:bCs/>
        </w:rPr>
        <w:t xml:space="preserve">of </w:t>
      </w:r>
      <w:r w:rsidR="009A3522">
        <w:rPr>
          <w:bCs/>
        </w:rPr>
        <w:t>capital receipts</w:t>
      </w:r>
      <w:r w:rsidR="009A3522" w:rsidRPr="009A3522">
        <w:rPr>
          <w:bCs/>
        </w:rPr>
        <w:t xml:space="preserve"> </w:t>
      </w:r>
      <w:r w:rsidR="009102CE">
        <w:rPr>
          <w:bCs/>
        </w:rPr>
        <w:t xml:space="preserve">flexibilities </w:t>
      </w:r>
      <w:r w:rsidR="009A3522" w:rsidRPr="009A3522">
        <w:rPr>
          <w:bCs/>
        </w:rPr>
        <w:t xml:space="preserve">generated from </w:t>
      </w:r>
      <w:r w:rsidR="009A3522">
        <w:rPr>
          <w:bCs/>
        </w:rPr>
        <w:t xml:space="preserve">assets </w:t>
      </w:r>
      <w:r w:rsidR="009A3522" w:rsidRPr="009A3522">
        <w:rPr>
          <w:bCs/>
        </w:rPr>
        <w:t>disposal</w:t>
      </w:r>
      <w:r w:rsidR="009A3522">
        <w:rPr>
          <w:bCs/>
        </w:rPr>
        <w:t>s. This would be applied under the</w:t>
      </w:r>
      <w:r w:rsidR="009A3522" w:rsidRPr="009A3522">
        <w:rPr>
          <w:bCs/>
        </w:rPr>
        <w:t xml:space="preserve"> capital receipt flexibilities granted to Local Authorities by central government to support on-going revenue savings, transformation costs and long terms cost reductions.  As the authority has a MTFS including such initiatives, appropriate costs incurred will be </w:t>
      </w:r>
      <w:r w:rsidR="009102CE">
        <w:rPr>
          <w:bCs/>
        </w:rPr>
        <w:t xml:space="preserve">funded from </w:t>
      </w:r>
      <w:r w:rsidR="009A3522" w:rsidRPr="009A3522">
        <w:rPr>
          <w:bCs/>
        </w:rPr>
        <w:t>the capital receipts</w:t>
      </w:r>
      <w:r w:rsidR="009102CE">
        <w:rPr>
          <w:bCs/>
        </w:rPr>
        <w:t xml:space="preserve"> flexibilities initiative</w:t>
      </w:r>
      <w:r w:rsidR="009A3522">
        <w:rPr>
          <w:bCs/>
        </w:rPr>
        <w:t>.</w:t>
      </w:r>
    </w:p>
    <w:p w14:paraId="533CC887" w14:textId="77777777" w:rsidR="002962D7" w:rsidRPr="00385924" w:rsidRDefault="002962D7" w:rsidP="00BB0A57">
      <w:pPr>
        <w:pStyle w:val="ListParagraph"/>
        <w:ind w:left="851"/>
        <w:jc w:val="both"/>
      </w:pPr>
    </w:p>
    <w:p w14:paraId="142FD18E" w14:textId="672224D7" w:rsidR="00262389" w:rsidRDefault="0036285A" w:rsidP="00404B4F">
      <w:pPr>
        <w:pStyle w:val="ListParagraph"/>
        <w:numPr>
          <w:ilvl w:val="1"/>
          <w:numId w:val="71"/>
        </w:numPr>
        <w:ind w:left="709" w:right="185" w:hanging="709"/>
        <w:jc w:val="both"/>
      </w:pPr>
      <w:r>
        <w:t xml:space="preserve"> </w:t>
      </w:r>
      <w:r w:rsidR="001B7156">
        <w:t xml:space="preserve">A summary of the </w:t>
      </w:r>
      <w:r w:rsidR="00A66EE4">
        <w:t>Quarter 1</w:t>
      </w:r>
      <w:r w:rsidR="00B54070">
        <w:t xml:space="preserve"> monitoring is shown in </w:t>
      </w:r>
      <w:r w:rsidR="00D325FE">
        <w:t xml:space="preserve"> </w:t>
      </w:r>
      <w:r w:rsidR="00B54070">
        <w:t>table</w:t>
      </w:r>
      <w:r w:rsidR="006D5C47">
        <w:t xml:space="preserve"> 1</w:t>
      </w:r>
      <w:r w:rsidR="00B54070">
        <w:t xml:space="preserve"> below:</w:t>
      </w:r>
    </w:p>
    <w:p w14:paraId="08775D40" w14:textId="77777777" w:rsidR="007D291B" w:rsidRDefault="007D291B" w:rsidP="007D291B">
      <w:pPr>
        <w:pStyle w:val="ListParagraph"/>
        <w:ind w:left="689"/>
        <w:jc w:val="both"/>
      </w:pPr>
    </w:p>
    <w:p w14:paraId="6CF522C3" w14:textId="77777777" w:rsidR="00A52A82" w:rsidRDefault="00A52A82" w:rsidP="007D291B">
      <w:pPr>
        <w:pStyle w:val="ListParagraph"/>
        <w:ind w:left="689"/>
        <w:jc w:val="both"/>
      </w:pPr>
    </w:p>
    <w:p w14:paraId="1343943E" w14:textId="77777777" w:rsidR="00A52A82" w:rsidRDefault="00A52A82" w:rsidP="007D291B">
      <w:pPr>
        <w:pStyle w:val="ListParagraph"/>
        <w:ind w:left="689"/>
        <w:jc w:val="both"/>
      </w:pPr>
    </w:p>
    <w:p w14:paraId="229ADCAD" w14:textId="77777777" w:rsidR="00A52A82" w:rsidRDefault="00A52A82" w:rsidP="007D291B">
      <w:pPr>
        <w:pStyle w:val="ListParagraph"/>
        <w:ind w:left="689"/>
        <w:jc w:val="both"/>
      </w:pPr>
    </w:p>
    <w:p w14:paraId="2A109DA2" w14:textId="77777777" w:rsidR="00A52A82" w:rsidRDefault="00A52A82" w:rsidP="007D291B">
      <w:pPr>
        <w:pStyle w:val="ListParagraph"/>
        <w:ind w:left="689"/>
        <w:jc w:val="both"/>
      </w:pPr>
    </w:p>
    <w:p w14:paraId="5A7C1FF3" w14:textId="77777777" w:rsidR="00A52A82" w:rsidRDefault="00A52A82" w:rsidP="007D291B">
      <w:pPr>
        <w:pStyle w:val="ListParagraph"/>
        <w:ind w:left="689"/>
        <w:jc w:val="both"/>
      </w:pPr>
    </w:p>
    <w:p w14:paraId="66E28DC8" w14:textId="77777777" w:rsidR="00A52A82" w:rsidRDefault="00A52A82" w:rsidP="007D291B">
      <w:pPr>
        <w:pStyle w:val="ListParagraph"/>
        <w:ind w:left="689"/>
        <w:jc w:val="both"/>
      </w:pPr>
    </w:p>
    <w:p w14:paraId="1C663010" w14:textId="77777777" w:rsidR="00A52A82" w:rsidRDefault="00A52A82" w:rsidP="007D291B">
      <w:pPr>
        <w:pStyle w:val="ListParagraph"/>
        <w:ind w:left="689"/>
        <w:jc w:val="both"/>
      </w:pPr>
    </w:p>
    <w:p w14:paraId="174E99B3" w14:textId="77777777" w:rsidR="00A52A82" w:rsidRDefault="00A52A82" w:rsidP="007D291B">
      <w:pPr>
        <w:pStyle w:val="ListParagraph"/>
        <w:ind w:left="689"/>
        <w:jc w:val="both"/>
      </w:pPr>
    </w:p>
    <w:p w14:paraId="1ADCF8D2" w14:textId="32269ED4" w:rsidR="00741AEB" w:rsidRDefault="00DA71DF" w:rsidP="00777CCB">
      <w:pPr>
        <w:ind w:firstLine="709"/>
        <w:rPr>
          <w:rFonts w:cs="Arial"/>
          <w:b/>
          <w:u w:val="single"/>
        </w:rPr>
      </w:pPr>
      <w:r>
        <w:rPr>
          <w:rFonts w:cs="Arial"/>
          <w:b/>
          <w:u w:val="single"/>
        </w:rPr>
        <w:lastRenderedPageBreak/>
        <w:t xml:space="preserve">Table </w:t>
      </w:r>
      <w:r w:rsidR="00BC12ED">
        <w:rPr>
          <w:rFonts w:cs="Arial"/>
          <w:b/>
          <w:u w:val="single"/>
        </w:rPr>
        <w:t>1</w:t>
      </w:r>
      <w:r w:rsidR="00741AEB" w:rsidRPr="006B1DE1">
        <w:rPr>
          <w:rFonts w:cs="Arial"/>
          <w:b/>
          <w:u w:val="single"/>
        </w:rPr>
        <w:t xml:space="preserve">: Revenue Monitoring </w:t>
      </w:r>
      <w:proofErr w:type="gramStart"/>
      <w:r w:rsidR="00741AEB" w:rsidRPr="006B1DE1">
        <w:rPr>
          <w:rFonts w:cs="Arial"/>
          <w:b/>
          <w:u w:val="single"/>
        </w:rPr>
        <w:t xml:space="preserve">– </w:t>
      </w:r>
      <w:r w:rsidR="00290F93">
        <w:rPr>
          <w:rFonts w:cs="Arial"/>
          <w:b/>
          <w:u w:val="single"/>
        </w:rPr>
        <w:t xml:space="preserve"> as</w:t>
      </w:r>
      <w:proofErr w:type="gramEnd"/>
      <w:r w:rsidR="00290F93">
        <w:rPr>
          <w:rFonts w:cs="Arial"/>
          <w:b/>
          <w:u w:val="single"/>
        </w:rPr>
        <w:t xml:space="preserve"> at </w:t>
      </w:r>
      <w:r w:rsidR="003F0DB6">
        <w:rPr>
          <w:rFonts w:cs="Arial"/>
          <w:b/>
          <w:u w:val="single"/>
        </w:rPr>
        <w:t>30</w:t>
      </w:r>
      <w:r w:rsidR="003F0DB6" w:rsidRPr="00BB0A57">
        <w:rPr>
          <w:rFonts w:cs="Arial"/>
          <w:b/>
          <w:u w:val="single"/>
          <w:vertAlign w:val="superscript"/>
        </w:rPr>
        <w:t>th</w:t>
      </w:r>
      <w:r w:rsidR="003F0DB6">
        <w:rPr>
          <w:rFonts w:cs="Arial"/>
          <w:b/>
          <w:u w:val="single"/>
        </w:rPr>
        <w:t xml:space="preserve"> June 2017 </w:t>
      </w:r>
      <w:r w:rsidR="00741AEB" w:rsidRPr="006B1DE1">
        <w:rPr>
          <w:rFonts w:cs="Arial"/>
          <w:b/>
          <w:u w:val="single"/>
        </w:rPr>
        <w:t xml:space="preserve"> </w:t>
      </w:r>
    </w:p>
    <w:p w14:paraId="152DF19E" w14:textId="7B20B0B7" w:rsidR="00D97004" w:rsidRDefault="00777CCB" w:rsidP="00072547">
      <w:pPr>
        <w:ind w:firstLine="709"/>
        <w:rPr>
          <w:rFonts w:cs="Arial"/>
          <w:b/>
          <w:u w:val="single"/>
        </w:rPr>
      </w:pPr>
      <w:r w:rsidRPr="00777CCB">
        <w:rPr>
          <w:noProof/>
          <w:lang w:eastAsia="en-GB"/>
        </w:rPr>
        <w:drawing>
          <wp:inline distT="0" distB="0" distL="0" distR="0" wp14:anchorId="77A2E0F6" wp14:editId="5366B7FF">
            <wp:extent cx="5158105" cy="4260554"/>
            <wp:effectExtent l="0" t="0" r="4445"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158105" cy="4260554"/>
                    </a:xfrm>
                    <a:prstGeom prst="rect">
                      <a:avLst/>
                    </a:prstGeom>
                    <a:noFill/>
                    <a:ln>
                      <a:noFill/>
                    </a:ln>
                  </pic:spPr>
                </pic:pic>
              </a:graphicData>
            </a:graphic>
          </wp:inline>
        </w:drawing>
      </w:r>
    </w:p>
    <w:p w14:paraId="6C903859" w14:textId="77777777" w:rsidR="00E07305" w:rsidRDefault="00E07305" w:rsidP="00072547">
      <w:pPr>
        <w:ind w:firstLine="709"/>
        <w:rPr>
          <w:rFonts w:cs="Arial"/>
          <w:b/>
          <w:u w:val="single"/>
        </w:rPr>
      </w:pPr>
    </w:p>
    <w:p w14:paraId="73CE90B6" w14:textId="77777777" w:rsidR="00E07305" w:rsidRDefault="00E07305" w:rsidP="00072547">
      <w:pPr>
        <w:ind w:firstLine="709"/>
        <w:rPr>
          <w:rFonts w:cs="Arial"/>
          <w:b/>
          <w:u w:val="single"/>
        </w:rPr>
      </w:pPr>
    </w:p>
    <w:p w14:paraId="48192011" w14:textId="3B1D8BD8" w:rsidR="00850216" w:rsidRDefault="00741AEB" w:rsidP="00C54349">
      <w:pPr>
        <w:spacing w:after="240"/>
        <w:ind w:right="488"/>
        <w:jc w:val="both"/>
        <w:rPr>
          <w:b/>
          <w:u w:val="single"/>
        </w:rPr>
      </w:pPr>
      <w:r w:rsidRPr="008A73C4">
        <w:rPr>
          <w:b/>
          <w:u w:val="single"/>
        </w:rPr>
        <w:t>R</w:t>
      </w:r>
      <w:r w:rsidR="00D30E09">
        <w:rPr>
          <w:b/>
          <w:u w:val="single"/>
        </w:rPr>
        <w:t>ESOURCES</w:t>
      </w:r>
      <w:r w:rsidR="00DE139F">
        <w:rPr>
          <w:b/>
          <w:u w:val="single"/>
        </w:rPr>
        <w:t xml:space="preserve"> AND COMMERCIAL</w:t>
      </w:r>
    </w:p>
    <w:p w14:paraId="1618652B" w14:textId="430B7664" w:rsidR="001347B9" w:rsidRDefault="00520D2A" w:rsidP="00BC12ED">
      <w:pPr>
        <w:spacing w:after="240"/>
        <w:ind w:left="142" w:right="488" w:firstLine="567"/>
        <w:jc w:val="both"/>
        <w:rPr>
          <w:b/>
          <w:u w:val="single"/>
        </w:rPr>
      </w:pPr>
      <w:r>
        <w:rPr>
          <w:b/>
          <w:u w:val="single"/>
        </w:rPr>
        <w:t xml:space="preserve">Table </w:t>
      </w:r>
      <w:r w:rsidR="00BC12ED">
        <w:rPr>
          <w:b/>
          <w:u w:val="single"/>
        </w:rPr>
        <w:t>2</w:t>
      </w:r>
      <w:r w:rsidR="00DE139F">
        <w:rPr>
          <w:b/>
          <w:u w:val="single"/>
        </w:rPr>
        <w:t>:</w:t>
      </w:r>
      <w:r w:rsidR="001347B9" w:rsidRPr="00A533C8">
        <w:rPr>
          <w:b/>
          <w:u w:val="single"/>
        </w:rPr>
        <w:t xml:space="preserve"> Resources &amp; Commercial</w:t>
      </w:r>
      <w:r w:rsidR="00A533C8" w:rsidRPr="00A533C8">
        <w:rPr>
          <w:b/>
          <w:u w:val="single"/>
        </w:rPr>
        <w:t xml:space="preserve"> Variance</w:t>
      </w:r>
    </w:p>
    <w:tbl>
      <w:tblPr>
        <w:tblW w:w="0" w:type="auto"/>
        <w:tblInd w:w="10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6"/>
        <w:gridCol w:w="1563"/>
        <w:gridCol w:w="1563"/>
      </w:tblGrid>
      <w:tr w:rsidR="003F0DB6" w:rsidRPr="006F278D" w14:paraId="424AD183" w14:textId="3D2C6097" w:rsidTr="00BB0A57">
        <w:trPr>
          <w:trHeight w:val="654"/>
        </w:trPr>
        <w:tc>
          <w:tcPr>
            <w:tcW w:w="2226" w:type="dxa"/>
            <w:shd w:val="clear" w:color="auto" w:fill="auto"/>
          </w:tcPr>
          <w:p w14:paraId="1B6CCED8" w14:textId="5439B03E" w:rsidR="003F0DB6" w:rsidRPr="006F278D" w:rsidRDefault="00864530" w:rsidP="00BB0A57">
            <w:r>
              <w:t xml:space="preserve">      Quarter 1</w:t>
            </w:r>
          </w:p>
          <w:p w14:paraId="3847F489" w14:textId="0DDAD988" w:rsidR="003F0DB6" w:rsidRPr="006F278D" w:rsidRDefault="003F0DB6" w:rsidP="006F278D">
            <w:pPr>
              <w:jc w:val="center"/>
            </w:pPr>
            <w:r w:rsidRPr="006F278D">
              <w:t>Variance</w:t>
            </w:r>
          </w:p>
          <w:p w14:paraId="3B7CEADC" w14:textId="77777777" w:rsidR="003F0DB6" w:rsidRPr="006F278D" w:rsidRDefault="003F0DB6" w:rsidP="006F278D">
            <w:pPr>
              <w:jc w:val="center"/>
            </w:pPr>
            <w:r w:rsidRPr="006F278D">
              <w:t>£000</w:t>
            </w:r>
          </w:p>
        </w:tc>
        <w:tc>
          <w:tcPr>
            <w:tcW w:w="1563" w:type="dxa"/>
          </w:tcPr>
          <w:p w14:paraId="7B6FC7E3" w14:textId="5F193C16" w:rsidR="003F0DB6" w:rsidRDefault="00864530" w:rsidP="006F278D">
            <w:pPr>
              <w:jc w:val="center"/>
            </w:pPr>
            <w:r>
              <w:t>Period 2 Variance</w:t>
            </w:r>
          </w:p>
        </w:tc>
        <w:tc>
          <w:tcPr>
            <w:tcW w:w="1563" w:type="dxa"/>
          </w:tcPr>
          <w:p w14:paraId="6A825C0B" w14:textId="16A2E8B0" w:rsidR="003F0DB6" w:rsidRDefault="00864530" w:rsidP="006F278D">
            <w:pPr>
              <w:jc w:val="center"/>
            </w:pPr>
            <w:r>
              <w:t xml:space="preserve">Movement between Quarter 1 and Period 2 </w:t>
            </w:r>
          </w:p>
        </w:tc>
      </w:tr>
      <w:tr w:rsidR="003F0DB6" w:rsidRPr="006F278D" w14:paraId="02285F43" w14:textId="2611FBA6" w:rsidTr="00BB0A57">
        <w:trPr>
          <w:trHeight w:val="285"/>
        </w:trPr>
        <w:tc>
          <w:tcPr>
            <w:tcW w:w="2226" w:type="dxa"/>
            <w:shd w:val="clear" w:color="auto" w:fill="auto"/>
          </w:tcPr>
          <w:p w14:paraId="4B547564" w14:textId="6A63089A" w:rsidR="003F0DB6" w:rsidRPr="006F278D" w:rsidRDefault="00E43E37" w:rsidP="006F278D">
            <w:pPr>
              <w:jc w:val="center"/>
            </w:pPr>
            <w:r>
              <w:t>-</w:t>
            </w:r>
          </w:p>
        </w:tc>
        <w:tc>
          <w:tcPr>
            <w:tcW w:w="1563" w:type="dxa"/>
          </w:tcPr>
          <w:p w14:paraId="5D399F0B" w14:textId="64C96194" w:rsidR="003F0DB6" w:rsidRPr="006F278D" w:rsidRDefault="00864530" w:rsidP="006F278D">
            <w:pPr>
              <w:jc w:val="center"/>
            </w:pPr>
            <w:r>
              <w:t>(44)</w:t>
            </w:r>
          </w:p>
        </w:tc>
        <w:tc>
          <w:tcPr>
            <w:tcW w:w="1563" w:type="dxa"/>
          </w:tcPr>
          <w:p w14:paraId="1AEFC721" w14:textId="744DFC25" w:rsidR="003F0DB6" w:rsidRPr="006F278D" w:rsidRDefault="00E43E37" w:rsidP="006F278D">
            <w:pPr>
              <w:jc w:val="center"/>
            </w:pPr>
            <w:r>
              <w:t>44</w:t>
            </w:r>
          </w:p>
        </w:tc>
      </w:tr>
    </w:tbl>
    <w:p w14:paraId="67480463" w14:textId="56156AD1" w:rsidR="008203D5" w:rsidRDefault="00521915" w:rsidP="00D645B0">
      <w:r>
        <w:tab/>
      </w:r>
    </w:p>
    <w:p w14:paraId="1C4E0843" w14:textId="24C66DE5" w:rsidR="00F200B4" w:rsidRDefault="00D92878" w:rsidP="00404B4F">
      <w:pPr>
        <w:pStyle w:val="ListParagraph"/>
        <w:numPr>
          <w:ilvl w:val="1"/>
          <w:numId w:val="70"/>
        </w:numPr>
        <w:spacing w:after="120"/>
        <w:ind w:left="709" w:hanging="709"/>
        <w:jc w:val="both"/>
        <w:rPr>
          <w:bCs/>
        </w:rPr>
      </w:pPr>
      <w:bookmarkStart w:id="0" w:name="_Toc372706214"/>
      <w:r w:rsidRPr="008815D5">
        <w:rPr>
          <w:bCs/>
        </w:rPr>
        <w:t>At Quarter 1</w:t>
      </w:r>
      <w:r w:rsidR="008D540C" w:rsidRPr="008815D5">
        <w:rPr>
          <w:bCs/>
        </w:rPr>
        <w:t xml:space="preserve"> Resources is forecasting a</w:t>
      </w:r>
      <w:r w:rsidR="00E43E37">
        <w:rPr>
          <w:bCs/>
        </w:rPr>
        <w:t xml:space="preserve"> balanced budget </w:t>
      </w:r>
      <w:r w:rsidR="008D540C" w:rsidRPr="008815D5">
        <w:rPr>
          <w:bCs/>
        </w:rPr>
        <w:t xml:space="preserve">for the </w:t>
      </w:r>
      <w:r w:rsidR="008815D5" w:rsidRPr="008815D5">
        <w:rPr>
          <w:bCs/>
        </w:rPr>
        <w:t xml:space="preserve">  </w:t>
      </w:r>
      <w:r w:rsidR="008D540C" w:rsidRPr="008815D5">
        <w:rPr>
          <w:bCs/>
        </w:rPr>
        <w:t>2017/18 financial year. This is after an assumed draw down from reserves of (£109k) as detailed in appendix 3</w:t>
      </w:r>
      <w:r w:rsidR="008815D5" w:rsidRPr="008815D5">
        <w:rPr>
          <w:bCs/>
        </w:rPr>
        <w:t xml:space="preserve">. </w:t>
      </w:r>
      <w:r w:rsidR="00E23D8D">
        <w:rPr>
          <w:bCs/>
        </w:rPr>
        <w:t>This balanced position represent</w:t>
      </w:r>
      <w:r w:rsidR="00AD0C57">
        <w:rPr>
          <w:bCs/>
        </w:rPr>
        <w:t>s</w:t>
      </w:r>
      <w:r w:rsidR="00E23D8D">
        <w:rPr>
          <w:bCs/>
        </w:rPr>
        <w:t xml:space="preserve"> a deficit movement £44k from period 2. </w:t>
      </w:r>
    </w:p>
    <w:p w14:paraId="7176A869" w14:textId="2122924D" w:rsidR="00F200B4" w:rsidRDefault="00E43E37" w:rsidP="00404B4F">
      <w:pPr>
        <w:pStyle w:val="ListParagraph"/>
        <w:numPr>
          <w:ilvl w:val="1"/>
          <w:numId w:val="70"/>
        </w:numPr>
        <w:spacing w:after="120"/>
        <w:ind w:left="709" w:hanging="709"/>
        <w:jc w:val="both"/>
        <w:rPr>
          <w:bCs/>
        </w:rPr>
      </w:pPr>
      <w:r>
        <w:rPr>
          <w:bCs/>
        </w:rPr>
        <w:t>Legal and Governance – The service is managing a budget pressure of £251k</w:t>
      </w:r>
      <w:r w:rsidR="00F200B4">
        <w:rPr>
          <w:bCs/>
        </w:rPr>
        <w:t xml:space="preserve"> </w:t>
      </w:r>
      <w:r w:rsidR="00164CC6">
        <w:rPr>
          <w:bCs/>
        </w:rPr>
        <w:t>which is</w:t>
      </w:r>
      <w:r w:rsidR="00E23D8D">
        <w:rPr>
          <w:bCs/>
        </w:rPr>
        <w:t xml:space="preserve"> due to an</w:t>
      </w:r>
      <w:r w:rsidR="00164CC6">
        <w:rPr>
          <w:bCs/>
        </w:rPr>
        <w:t xml:space="preserve"> increase in the number of hours that is needed in order to meet the legal requirement of the directorates. Legal services together with the other directorates are working towards reducing </w:t>
      </w:r>
      <w:r w:rsidR="00E23D8D">
        <w:rPr>
          <w:bCs/>
        </w:rPr>
        <w:t>these hours</w:t>
      </w:r>
      <w:r w:rsidR="00DE139F">
        <w:rPr>
          <w:bCs/>
        </w:rPr>
        <w:t>.</w:t>
      </w:r>
      <w:r w:rsidR="00164CC6">
        <w:rPr>
          <w:bCs/>
        </w:rPr>
        <w:t xml:space="preserve"> </w:t>
      </w:r>
    </w:p>
    <w:p w14:paraId="430DB460" w14:textId="0141C6D2" w:rsidR="00164CC6" w:rsidRPr="00015227" w:rsidRDefault="00D30E09" w:rsidP="00404B4F">
      <w:pPr>
        <w:pStyle w:val="ListParagraph"/>
        <w:spacing w:after="120"/>
        <w:ind w:left="567"/>
        <w:jc w:val="both"/>
        <w:rPr>
          <w:b/>
          <w:bCs/>
          <w:i/>
        </w:rPr>
      </w:pPr>
      <w:r>
        <w:rPr>
          <w:b/>
          <w:bCs/>
          <w:i/>
        </w:rPr>
        <w:t xml:space="preserve">  </w:t>
      </w:r>
      <w:r w:rsidR="00164CC6" w:rsidRPr="00015227">
        <w:rPr>
          <w:b/>
          <w:bCs/>
          <w:i/>
        </w:rPr>
        <w:t>Spending Control Freeze</w:t>
      </w:r>
    </w:p>
    <w:p w14:paraId="2FAFCEB8" w14:textId="7C21F369" w:rsidR="004A24EE" w:rsidRDefault="004A24EE" w:rsidP="00404B4F">
      <w:pPr>
        <w:ind w:left="709" w:hanging="709"/>
        <w:jc w:val="both"/>
        <w:rPr>
          <w:bCs/>
        </w:rPr>
      </w:pPr>
      <w:r>
        <w:rPr>
          <w:bCs/>
        </w:rPr>
        <w:t>2.6</w:t>
      </w:r>
      <w:r>
        <w:rPr>
          <w:bCs/>
        </w:rPr>
        <w:tab/>
      </w:r>
      <w:r w:rsidR="00164CC6" w:rsidRPr="00404B4F">
        <w:rPr>
          <w:bCs/>
        </w:rPr>
        <w:t xml:space="preserve">The Resources &amp; Commercial </w:t>
      </w:r>
      <w:r w:rsidR="00182F02" w:rsidRPr="00404B4F">
        <w:rPr>
          <w:bCs/>
        </w:rPr>
        <w:t>directorate is working towards identifying</w:t>
      </w:r>
      <w:r w:rsidR="00164CC6" w:rsidRPr="00404B4F">
        <w:rPr>
          <w:bCs/>
        </w:rPr>
        <w:t xml:space="preserve"> a number of in-year items to contribute towards the requested spending freeze</w:t>
      </w:r>
      <w:r w:rsidR="008D3348" w:rsidRPr="00404B4F">
        <w:rPr>
          <w:bCs/>
        </w:rPr>
        <w:t xml:space="preserve"> across the C</w:t>
      </w:r>
      <w:r w:rsidR="00182F02" w:rsidRPr="00404B4F">
        <w:rPr>
          <w:bCs/>
        </w:rPr>
        <w:t xml:space="preserve">ouncil. Proposed </w:t>
      </w:r>
      <w:r w:rsidR="00164CC6" w:rsidRPr="00404B4F">
        <w:rPr>
          <w:bCs/>
        </w:rPr>
        <w:t xml:space="preserve">items </w:t>
      </w:r>
      <w:r w:rsidR="00164CC6" w:rsidRPr="00404B4F">
        <w:rPr>
          <w:bCs/>
        </w:rPr>
        <w:lastRenderedPageBreak/>
        <w:t>include underspends of budgets from current</w:t>
      </w:r>
      <w:r w:rsidR="00182F02" w:rsidRPr="00404B4F">
        <w:rPr>
          <w:bCs/>
        </w:rPr>
        <w:t xml:space="preserve"> vacant staff posts, </w:t>
      </w:r>
      <w:r w:rsidR="00164CC6" w:rsidRPr="00404B4F">
        <w:rPr>
          <w:bCs/>
        </w:rPr>
        <w:t>overachievement of income</w:t>
      </w:r>
      <w:r w:rsidRPr="00404B4F">
        <w:rPr>
          <w:bCs/>
        </w:rPr>
        <w:t xml:space="preserve"> and</w:t>
      </w:r>
      <w:r w:rsidR="00164CC6" w:rsidRPr="00404B4F">
        <w:rPr>
          <w:bCs/>
        </w:rPr>
        <w:t xml:space="preserve"> contract efficiency savings</w:t>
      </w:r>
      <w:r w:rsidRPr="00404B4F">
        <w:rPr>
          <w:bCs/>
        </w:rPr>
        <w:t>.</w:t>
      </w:r>
      <w:r w:rsidR="00164CC6" w:rsidRPr="00404B4F">
        <w:rPr>
          <w:bCs/>
        </w:rPr>
        <w:t xml:space="preserve"> </w:t>
      </w:r>
    </w:p>
    <w:p w14:paraId="63794DB9" w14:textId="77777777" w:rsidR="004A24EE" w:rsidRDefault="004A24EE" w:rsidP="00404B4F">
      <w:pPr>
        <w:ind w:left="851" w:hanging="851"/>
        <w:rPr>
          <w:bCs/>
        </w:rPr>
      </w:pPr>
    </w:p>
    <w:p w14:paraId="4DB7FAE7" w14:textId="77777777" w:rsidR="00E07305" w:rsidRPr="00404B4F" w:rsidRDefault="00E07305" w:rsidP="00404B4F">
      <w:pPr>
        <w:ind w:left="851" w:hanging="851"/>
      </w:pPr>
    </w:p>
    <w:p w14:paraId="597D3E42" w14:textId="2E2B0C48" w:rsidR="0065397E" w:rsidRPr="00E210B9" w:rsidRDefault="000E70F4" w:rsidP="00D30E09">
      <w:pPr>
        <w:pStyle w:val="ListParagraph"/>
        <w:spacing w:after="240"/>
        <w:ind w:left="851" w:hanging="851"/>
        <w:jc w:val="both"/>
        <w:rPr>
          <w:b/>
          <w:u w:val="single"/>
        </w:rPr>
      </w:pPr>
      <w:r w:rsidRPr="00E210B9">
        <w:rPr>
          <w:b/>
          <w:u w:val="single"/>
        </w:rPr>
        <w:t>C</w:t>
      </w:r>
      <w:r w:rsidR="0065397E" w:rsidRPr="00E210B9">
        <w:rPr>
          <w:b/>
          <w:u w:val="single"/>
        </w:rPr>
        <w:t>OMMUNITY DIRECTORATE</w:t>
      </w:r>
    </w:p>
    <w:p w14:paraId="6AA041ED" w14:textId="2C661C94" w:rsidR="00A00A64" w:rsidRDefault="0065397E" w:rsidP="00404B4F">
      <w:pPr>
        <w:pStyle w:val="ListParagraph"/>
        <w:numPr>
          <w:ilvl w:val="1"/>
          <w:numId w:val="64"/>
        </w:numPr>
        <w:spacing w:after="120"/>
        <w:ind w:left="709" w:hanging="709"/>
        <w:jc w:val="both"/>
        <w:rPr>
          <w:bCs/>
          <w:lang w:val="en-US"/>
        </w:rPr>
      </w:pPr>
      <w:r w:rsidRPr="00A00A64">
        <w:rPr>
          <w:bCs/>
          <w:lang w:val="en-US"/>
        </w:rPr>
        <w:t xml:space="preserve">At </w:t>
      </w:r>
      <w:r w:rsidR="00BB60A4" w:rsidRPr="00A00A64">
        <w:rPr>
          <w:bCs/>
          <w:lang w:val="en-US"/>
        </w:rPr>
        <w:t>Quarter 1</w:t>
      </w:r>
      <w:r w:rsidRPr="00A00A64">
        <w:rPr>
          <w:bCs/>
          <w:lang w:val="en-US"/>
        </w:rPr>
        <w:t xml:space="preserve">, the Community Directorate </w:t>
      </w:r>
      <w:r w:rsidR="00FA5ABC" w:rsidRPr="00A00A64">
        <w:rPr>
          <w:bCs/>
          <w:lang w:val="en-US"/>
        </w:rPr>
        <w:t xml:space="preserve">is reporting </w:t>
      </w:r>
      <w:r w:rsidR="004C5118" w:rsidRPr="00A00A64">
        <w:rPr>
          <w:bCs/>
          <w:lang w:val="en-US"/>
        </w:rPr>
        <w:t>a balanced</w:t>
      </w:r>
      <w:r w:rsidR="00B17948" w:rsidRPr="00A00A64">
        <w:rPr>
          <w:bCs/>
          <w:lang w:val="en-US"/>
        </w:rPr>
        <w:t xml:space="preserve"> </w:t>
      </w:r>
      <w:r w:rsidR="004C5118" w:rsidRPr="00A00A64">
        <w:rPr>
          <w:bCs/>
          <w:lang w:val="en-US"/>
        </w:rPr>
        <w:t>budget after</w:t>
      </w:r>
      <w:r w:rsidR="00B17948" w:rsidRPr="00A00A64">
        <w:rPr>
          <w:bCs/>
          <w:lang w:val="en-US"/>
        </w:rPr>
        <w:t xml:space="preserve"> an assumed draw from reserves of (£5</w:t>
      </w:r>
      <w:r w:rsidR="00E23D8D" w:rsidRPr="00A00A64">
        <w:rPr>
          <w:bCs/>
          <w:lang w:val="en-US"/>
        </w:rPr>
        <w:t>5</w:t>
      </w:r>
      <w:r w:rsidR="00B17948" w:rsidRPr="00A00A64">
        <w:rPr>
          <w:bCs/>
          <w:lang w:val="en-US"/>
        </w:rPr>
        <w:t>7k) as detailed in appendix 3</w:t>
      </w:r>
      <w:r w:rsidR="00C00C34" w:rsidRPr="00A00A64">
        <w:rPr>
          <w:bCs/>
          <w:lang w:val="en-US"/>
        </w:rPr>
        <w:t>.</w:t>
      </w:r>
    </w:p>
    <w:p w14:paraId="4153D636" w14:textId="2B924167" w:rsidR="00A00A64" w:rsidRPr="00A00A64" w:rsidRDefault="00A00A64" w:rsidP="00404B4F">
      <w:pPr>
        <w:pStyle w:val="ListParagraph"/>
        <w:numPr>
          <w:ilvl w:val="1"/>
          <w:numId w:val="64"/>
        </w:numPr>
        <w:spacing w:after="120"/>
        <w:ind w:left="709" w:hanging="709"/>
        <w:jc w:val="both"/>
        <w:rPr>
          <w:bCs/>
          <w:lang w:val="en-US"/>
        </w:rPr>
      </w:pPr>
      <w:r w:rsidRPr="00A00A64">
        <w:rPr>
          <w:bCs/>
        </w:rPr>
        <w:t>Within Environment &amp; Culture, there is an unachieved MTFS in relation to the redevelopment of Harrow Leisure Centre</w:t>
      </w:r>
      <w:r w:rsidRPr="00A00A64">
        <w:rPr>
          <w:b/>
          <w:bCs/>
        </w:rPr>
        <w:t xml:space="preserve"> £100k.</w:t>
      </w:r>
    </w:p>
    <w:p w14:paraId="2BA1EDB8" w14:textId="25C1C082" w:rsidR="00270959" w:rsidRDefault="007E751D" w:rsidP="00404B4F">
      <w:pPr>
        <w:pStyle w:val="ListParagraph"/>
        <w:numPr>
          <w:ilvl w:val="1"/>
          <w:numId w:val="64"/>
        </w:numPr>
        <w:spacing w:after="120"/>
        <w:ind w:left="709" w:hanging="709"/>
        <w:jc w:val="both"/>
        <w:rPr>
          <w:bCs/>
          <w:lang w:val="en-US"/>
        </w:rPr>
      </w:pPr>
      <w:r>
        <w:rPr>
          <w:bCs/>
          <w:lang w:val="en-US"/>
        </w:rPr>
        <w:t xml:space="preserve">There were </w:t>
      </w:r>
      <w:r w:rsidR="00416FB3">
        <w:rPr>
          <w:bCs/>
          <w:lang w:val="en-US"/>
        </w:rPr>
        <w:t>u</w:t>
      </w:r>
      <w:r w:rsidR="00270959" w:rsidRPr="00270959">
        <w:rPr>
          <w:bCs/>
          <w:lang w:val="en-US"/>
        </w:rPr>
        <w:t>nexpected costs in relation to responding to emergency repairs arising from a flooding at the Civic Centre</w:t>
      </w:r>
      <w:r>
        <w:rPr>
          <w:bCs/>
          <w:lang w:val="en-US"/>
        </w:rPr>
        <w:t xml:space="preserve"> in April</w:t>
      </w:r>
      <w:r w:rsidR="00270959" w:rsidRPr="00270959">
        <w:rPr>
          <w:bCs/>
          <w:lang w:val="en-US"/>
        </w:rPr>
        <w:t xml:space="preserve"> £50k</w:t>
      </w:r>
      <w:r w:rsidR="00270959">
        <w:rPr>
          <w:bCs/>
          <w:lang w:val="en-US"/>
        </w:rPr>
        <w:t>.</w:t>
      </w:r>
    </w:p>
    <w:p w14:paraId="0FE94A67" w14:textId="77777777" w:rsidR="00270959" w:rsidRPr="00270959" w:rsidRDefault="00270959" w:rsidP="00404B4F">
      <w:pPr>
        <w:pStyle w:val="ListParagraph"/>
        <w:numPr>
          <w:ilvl w:val="1"/>
          <w:numId w:val="64"/>
        </w:numPr>
        <w:spacing w:after="120"/>
        <w:ind w:left="709" w:hanging="709"/>
        <w:jc w:val="both"/>
        <w:rPr>
          <w:bCs/>
          <w:lang w:val="en-US"/>
        </w:rPr>
      </w:pPr>
      <w:r w:rsidRPr="00270959">
        <w:rPr>
          <w:bCs/>
        </w:rPr>
        <w:t>Housing General Fund forecast a balanced position.  The Council has been awarded £1.675m Flexible Homelessness Support Grant (FHSG) to offset the reduction in Housing Benefit income and enable the Council to start the process of moving from Private Sector Leased (PSL) temporary accommodation, to using Assured Short hold Tenancies (AST) in the Private Rented Sector in line with Government requirements. This sum will be ring-fenced to offset the income loss within Housing Needs</w:t>
      </w:r>
      <w:r>
        <w:rPr>
          <w:bCs/>
        </w:rPr>
        <w:t>.</w:t>
      </w:r>
    </w:p>
    <w:p w14:paraId="7767DEB3" w14:textId="77777777" w:rsidR="00270959" w:rsidRPr="00270959" w:rsidRDefault="00270959" w:rsidP="00404B4F">
      <w:pPr>
        <w:pStyle w:val="ListParagraph"/>
        <w:numPr>
          <w:ilvl w:val="1"/>
          <w:numId w:val="64"/>
        </w:numPr>
        <w:spacing w:after="120"/>
        <w:ind w:left="709" w:hanging="709"/>
        <w:jc w:val="both"/>
        <w:rPr>
          <w:bCs/>
          <w:lang w:val="en-US"/>
        </w:rPr>
      </w:pPr>
      <w:r w:rsidRPr="00270959">
        <w:rPr>
          <w:bCs/>
        </w:rPr>
        <w:t>Currently the Flexible Homeless Support Grant (FHSG) has only been allocated for two years; the 2018/19 allocation is £1.985m</w:t>
      </w:r>
      <w:r>
        <w:rPr>
          <w:bCs/>
        </w:rPr>
        <w:t>.</w:t>
      </w:r>
    </w:p>
    <w:p w14:paraId="6CF0047D" w14:textId="77777777" w:rsidR="00270959" w:rsidRDefault="00270959" w:rsidP="00D30E09">
      <w:pPr>
        <w:ind w:left="851" w:hanging="851"/>
        <w:rPr>
          <w:b/>
          <w:bCs/>
          <w:i/>
        </w:rPr>
      </w:pPr>
    </w:p>
    <w:p w14:paraId="5E6C5DD5" w14:textId="77777777" w:rsidR="00270959" w:rsidRDefault="00270959" w:rsidP="00404B4F">
      <w:pPr>
        <w:ind w:left="851" w:hanging="131"/>
        <w:rPr>
          <w:b/>
          <w:bCs/>
          <w:i/>
        </w:rPr>
      </w:pPr>
      <w:r w:rsidRPr="00270959">
        <w:rPr>
          <w:b/>
          <w:bCs/>
          <w:i/>
        </w:rPr>
        <w:t>SPENDING CONTROL FREEZE</w:t>
      </w:r>
    </w:p>
    <w:p w14:paraId="3A5251DA" w14:textId="77777777" w:rsidR="00C97D07" w:rsidRPr="00270959" w:rsidRDefault="00C97D07" w:rsidP="00D30E09">
      <w:pPr>
        <w:ind w:left="851" w:hanging="851"/>
        <w:rPr>
          <w:b/>
          <w:bCs/>
          <w:i/>
        </w:rPr>
      </w:pPr>
    </w:p>
    <w:p w14:paraId="4EE91157" w14:textId="4861654A" w:rsidR="00270959" w:rsidRPr="00270959" w:rsidRDefault="00270959" w:rsidP="00C4112D">
      <w:pPr>
        <w:pStyle w:val="ListParagraph"/>
        <w:numPr>
          <w:ilvl w:val="1"/>
          <w:numId w:val="64"/>
        </w:numPr>
        <w:spacing w:after="120"/>
        <w:ind w:left="709" w:hanging="709"/>
        <w:jc w:val="both"/>
        <w:rPr>
          <w:bCs/>
          <w:lang w:val="en-US"/>
        </w:rPr>
      </w:pPr>
      <w:r>
        <w:rPr>
          <w:bCs/>
        </w:rPr>
        <w:t xml:space="preserve">The </w:t>
      </w:r>
      <w:r w:rsidRPr="002600E9">
        <w:rPr>
          <w:bCs/>
        </w:rPr>
        <w:t>Community Directorate continues to explore new income opportunities by increasing utilisation of assets. This includes renting out any empty properties, taking over the management of a café and performance space, and undertaking rent review</w:t>
      </w:r>
      <w:r>
        <w:rPr>
          <w:bCs/>
        </w:rPr>
        <w:t>s</w:t>
      </w:r>
      <w:r w:rsidRPr="002600E9">
        <w:rPr>
          <w:bCs/>
        </w:rPr>
        <w:t xml:space="preserve"> as part of lease renewal</w:t>
      </w:r>
      <w:r>
        <w:rPr>
          <w:bCs/>
        </w:rPr>
        <w:t>s</w:t>
      </w:r>
      <w:r w:rsidRPr="002600E9">
        <w:rPr>
          <w:bCs/>
        </w:rPr>
        <w:t xml:space="preserve">. All of these will be undertaken with </w:t>
      </w:r>
      <w:r>
        <w:rPr>
          <w:bCs/>
        </w:rPr>
        <w:t>the</w:t>
      </w:r>
      <w:r w:rsidRPr="002600E9">
        <w:rPr>
          <w:bCs/>
        </w:rPr>
        <w:t xml:space="preserve"> aim </w:t>
      </w:r>
      <w:r>
        <w:rPr>
          <w:bCs/>
        </w:rPr>
        <w:t>of</w:t>
      </w:r>
      <w:r w:rsidRPr="002600E9">
        <w:rPr>
          <w:bCs/>
        </w:rPr>
        <w:t xml:space="preserve"> generating additional income, the exact amount of which will be subject to the timing of new leases / lease review, rent negotiations and/or business cases. In addition, the directorate will carry out efficiency reviews on its services to achieve cost savings. It is anticipated that these actions in coming months will yield a total estimated saving of £455k, which will be used to contribute towards the Council’s overall financial position</w:t>
      </w:r>
      <w:r>
        <w:rPr>
          <w:bCs/>
        </w:rPr>
        <w:t>.</w:t>
      </w:r>
    </w:p>
    <w:p w14:paraId="5921C4F6" w14:textId="77777777" w:rsidR="00270959" w:rsidRPr="00270959" w:rsidRDefault="00270959" w:rsidP="00D30E09">
      <w:pPr>
        <w:pStyle w:val="ListParagraph"/>
        <w:spacing w:after="120"/>
        <w:ind w:left="851" w:hanging="851"/>
        <w:jc w:val="both"/>
        <w:rPr>
          <w:bCs/>
          <w:lang w:val="en-US"/>
        </w:rPr>
      </w:pPr>
    </w:p>
    <w:p w14:paraId="259D629B" w14:textId="66D13DDB" w:rsidR="00270959" w:rsidRPr="00ED4141" w:rsidRDefault="00270959" w:rsidP="00D30E09">
      <w:pPr>
        <w:pStyle w:val="ListParagraph"/>
        <w:spacing w:after="120"/>
        <w:ind w:left="851" w:hanging="851"/>
        <w:jc w:val="both"/>
        <w:rPr>
          <w:bCs/>
          <w:u w:val="single"/>
          <w:lang w:val="en-US"/>
        </w:rPr>
      </w:pPr>
      <w:r w:rsidRPr="00BB0A57">
        <w:rPr>
          <w:rFonts w:cs="Arial"/>
          <w:b/>
          <w:bCs/>
          <w:szCs w:val="24"/>
          <w:u w:val="single"/>
        </w:rPr>
        <w:t xml:space="preserve">PEOPLE’S DIRECTORATE     </w:t>
      </w:r>
    </w:p>
    <w:p w14:paraId="3431F4E4" w14:textId="2AC22C2E" w:rsidR="00EC50FB" w:rsidRPr="00A00A64" w:rsidRDefault="00270959" w:rsidP="00404B4F">
      <w:pPr>
        <w:pStyle w:val="ListParagraph"/>
        <w:numPr>
          <w:ilvl w:val="1"/>
          <w:numId w:val="64"/>
        </w:numPr>
        <w:spacing w:after="120"/>
        <w:ind w:left="709" w:hanging="709"/>
        <w:jc w:val="both"/>
        <w:rPr>
          <w:bCs/>
          <w:lang w:val="en-US"/>
        </w:rPr>
      </w:pPr>
      <w:r w:rsidRPr="002600E9">
        <w:rPr>
          <w:bCs/>
        </w:rPr>
        <w:t>At Quarter 1 the People’s Directorate is forecasting an over spend of £3.560m, this forecast includes assumed draw down from reserves of (£721k) as set out in appendix 3. The directorate’s forecast represent</w:t>
      </w:r>
      <w:r>
        <w:rPr>
          <w:bCs/>
        </w:rPr>
        <w:t>s</w:t>
      </w:r>
      <w:r w:rsidRPr="002600E9">
        <w:rPr>
          <w:bCs/>
        </w:rPr>
        <w:t xml:space="preserve"> a </w:t>
      </w:r>
      <w:r>
        <w:rPr>
          <w:bCs/>
        </w:rPr>
        <w:t>favourable movement of (£549k) when compare</w:t>
      </w:r>
      <w:r w:rsidR="009102CE">
        <w:rPr>
          <w:bCs/>
        </w:rPr>
        <w:t>d</w:t>
      </w:r>
      <w:r>
        <w:rPr>
          <w:bCs/>
        </w:rPr>
        <w:t xml:space="preserve"> with period 2</w:t>
      </w:r>
    </w:p>
    <w:p w14:paraId="72E25A10" w14:textId="68952B3E" w:rsidR="0065397E" w:rsidRDefault="0065397E" w:rsidP="00D30E09">
      <w:pPr>
        <w:pStyle w:val="ListParagraph"/>
        <w:ind w:left="851" w:hanging="851"/>
        <w:rPr>
          <w:rFonts w:cs="Arial"/>
          <w:szCs w:val="24"/>
        </w:rPr>
      </w:pPr>
      <w:r>
        <w:rPr>
          <w:rFonts w:cs="Arial"/>
          <w:b/>
          <w:bCs/>
          <w:szCs w:val="24"/>
        </w:rPr>
        <w:t xml:space="preserve">                                                               </w:t>
      </w:r>
      <w:r w:rsidRPr="003A7611">
        <w:rPr>
          <w:rFonts w:cs="Arial"/>
          <w:szCs w:val="24"/>
        </w:rPr>
        <w:t xml:space="preserve"> </w:t>
      </w:r>
    </w:p>
    <w:p w14:paraId="54E9ACF6" w14:textId="77777777" w:rsidR="00AC0A97" w:rsidRDefault="00AC0A97" w:rsidP="00D30E09">
      <w:pPr>
        <w:spacing w:after="120"/>
        <w:ind w:left="851" w:hanging="851"/>
        <w:jc w:val="both"/>
        <w:rPr>
          <w:b/>
          <w:bCs/>
        </w:rPr>
      </w:pPr>
    </w:p>
    <w:p w14:paraId="77FACF59" w14:textId="77777777" w:rsidR="00C4112D" w:rsidRDefault="00C4112D" w:rsidP="00D30E09">
      <w:pPr>
        <w:spacing w:after="120"/>
        <w:ind w:left="851" w:hanging="851"/>
        <w:jc w:val="both"/>
        <w:rPr>
          <w:b/>
          <w:bCs/>
        </w:rPr>
      </w:pPr>
    </w:p>
    <w:p w14:paraId="56AE9A2F" w14:textId="2ECBE693" w:rsidR="00AC2FFE" w:rsidRDefault="002962D7" w:rsidP="00D30E09">
      <w:pPr>
        <w:spacing w:after="120"/>
        <w:ind w:left="851" w:hanging="851"/>
        <w:jc w:val="both"/>
        <w:rPr>
          <w:bCs/>
        </w:rPr>
      </w:pPr>
      <w:r w:rsidRPr="00BB0A57">
        <w:rPr>
          <w:b/>
          <w:bCs/>
        </w:rPr>
        <w:lastRenderedPageBreak/>
        <w:t xml:space="preserve">   </w:t>
      </w:r>
      <w:r w:rsidR="004034F2" w:rsidRPr="004034F2">
        <w:rPr>
          <w:b/>
          <w:bCs/>
          <w:u w:val="single"/>
        </w:rPr>
        <w:t xml:space="preserve">Table </w:t>
      </w:r>
      <w:r w:rsidR="00BC12ED">
        <w:rPr>
          <w:b/>
          <w:bCs/>
          <w:u w:val="single"/>
        </w:rPr>
        <w:t>3</w:t>
      </w:r>
      <w:r w:rsidR="004034F2" w:rsidRPr="004034F2">
        <w:rPr>
          <w:b/>
          <w:bCs/>
          <w:u w:val="single"/>
        </w:rPr>
        <w:t>: People’s Directorate Variance</w:t>
      </w:r>
      <w:r w:rsidR="00AC2FFE">
        <w:rPr>
          <w:bCs/>
        </w:rPr>
        <w:tab/>
      </w:r>
      <w:r w:rsidR="00AC2FFE">
        <w:rPr>
          <w:bCs/>
        </w:rPr>
        <w:tab/>
      </w:r>
    </w:p>
    <w:tbl>
      <w:tblPr>
        <w:tblW w:w="7868" w:type="dxa"/>
        <w:tblInd w:w="471" w:type="dxa"/>
        <w:tblLayout w:type="fixed"/>
        <w:tblLook w:val="04A0" w:firstRow="1" w:lastRow="0" w:firstColumn="1" w:lastColumn="0" w:noHBand="0" w:noVBand="1"/>
      </w:tblPr>
      <w:tblGrid>
        <w:gridCol w:w="1905"/>
        <w:gridCol w:w="1985"/>
        <w:gridCol w:w="1559"/>
        <w:gridCol w:w="2419"/>
      </w:tblGrid>
      <w:tr w:rsidR="00AC2FFE" w:rsidRPr="00AC2FFE" w14:paraId="1E220EE0" w14:textId="77777777" w:rsidTr="00404B4F">
        <w:trPr>
          <w:trHeight w:val="276"/>
        </w:trPr>
        <w:tc>
          <w:tcPr>
            <w:tcW w:w="1905" w:type="dxa"/>
            <w:vMerge w:val="restart"/>
            <w:tcBorders>
              <w:top w:val="single" w:sz="8" w:space="0" w:color="auto"/>
              <w:left w:val="single" w:sz="8" w:space="0" w:color="auto"/>
              <w:bottom w:val="nil"/>
              <w:right w:val="single" w:sz="8" w:space="0" w:color="auto"/>
            </w:tcBorders>
            <w:shd w:val="clear" w:color="auto" w:fill="auto"/>
            <w:vAlign w:val="center"/>
          </w:tcPr>
          <w:p w14:paraId="035DE1B5" w14:textId="150305EF" w:rsidR="00AC2FFE" w:rsidRPr="00AC2FFE" w:rsidRDefault="00AC2FFE" w:rsidP="00404B4F">
            <w:pPr>
              <w:ind w:left="851" w:firstLineChars="300" w:firstLine="720"/>
              <w:rPr>
                <w:rFonts w:cs="Arial"/>
                <w:szCs w:val="24"/>
                <w:lang w:eastAsia="en-GB"/>
              </w:rPr>
            </w:pPr>
          </w:p>
        </w:tc>
        <w:tc>
          <w:tcPr>
            <w:tcW w:w="1985" w:type="dxa"/>
            <w:vMerge w:val="restart"/>
            <w:tcBorders>
              <w:top w:val="single" w:sz="8" w:space="0" w:color="auto"/>
              <w:left w:val="single" w:sz="8" w:space="0" w:color="auto"/>
              <w:bottom w:val="nil"/>
              <w:right w:val="single" w:sz="8" w:space="0" w:color="auto"/>
            </w:tcBorders>
            <w:shd w:val="clear" w:color="auto" w:fill="auto"/>
            <w:vAlign w:val="center"/>
          </w:tcPr>
          <w:p w14:paraId="43A88E0F" w14:textId="24ED164F" w:rsidR="00AC2FFE" w:rsidRPr="00404B4F" w:rsidRDefault="000A1EAF" w:rsidP="00404B4F">
            <w:pPr>
              <w:rPr>
                <w:rFonts w:cs="Arial"/>
                <w:b/>
                <w:szCs w:val="24"/>
                <w:lang w:eastAsia="en-GB"/>
              </w:rPr>
            </w:pPr>
            <w:r>
              <w:rPr>
                <w:rFonts w:cs="Arial"/>
                <w:b/>
                <w:szCs w:val="24"/>
                <w:lang w:eastAsia="en-GB"/>
              </w:rPr>
              <w:t>Quarter 1 Variance</w:t>
            </w:r>
          </w:p>
        </w:tc>
        <w:tc>
          <w:tcPr>
            <w:tcW w:w="1559" w:type="dxa"/>
            <w:vMerge w:val="restart"/>
            <w:tcBorders>
              <w:top w:val="single" w:sz="8" w:space="0" w:color="auto"/>
              <w:left w:val="single" w:sz="8" w:space="0" w:color="auto"/>
              <w:bottom w:val="nil"/>
              <w:right w:val="single" w:sz="8" w:space="0" w:color="auto"/>
            </w:tcBorders>
            <w:shd w:val="clear" w:color="auto" w:fill="auto"/>
            <w:vAlign w:val="center"/>
          </w:tcPr>
          <w:p w14:paraId="345E9CDB" w14:textId="0D08680B" w:rsidR="00AC2FFE" w:rsidRPr="00404B4F" w:rsidRDefault="000A1EAF" w:rsidP="00404B4F">
            <w:pPr>
              <w:rPr>
                <w:rFonts w:cs="Arial"/>
                <w:b/>
                <w:szCs w:val="24"/>
                <w:lang w:eastAsia="en-GB"/>
              </w:rPr>
            </w:pPr>
            <w:r w:rsidRPr="00404B4F">
              <w:rPr>
                <w:rFonts w:cs="Arial"/>
                <w:b/>
                <w:szCs w:val="24"/>
                <w:lang w:eastAsia="en-GB"/>
              </w:rPr>
              <w:t>Period 2 Variance</w:t>
            </w:r>
          </w:p>
        </w:tc>
        <w:tc>
          <w:tcPr>
            <w:tcW w:w="2419" w:type="dxa"/>
            <w:vMerge w:val="restart"/>
            <w:tcBorders>
              <w:top w:val="single" w:sz="8" w:space="0" w:color="auto"/>
              <w:left w:val="single" w:sz="8" w:space="0" w:color="auto"/>
              <w:bottom w:val="nil"/>
              <w:right w:val="single" w:sz="8" w:space="0" w:color="auto"/>
            </w:tcBorders>
            <w:shd w:val="clear" w:color="auto" w:fill="auto"/>
            <w:vAlign w:val="center"/>
          </w:tcPr>
          <w:p w14:paraId="2CB45B5F" w14:textId="168C26A5" w:rsidR="00AC2FFE" w:rsidRPr="00AC2FFE" w:rsidRDefault="000A1EAF" w:rsidP="00404B4F">
            <w:pPr>
              <w:rPr>
                <w:rFonts w:cs="Arial"/>
                <w:szCs w:val="24"/>
                <w:lang w:eastAsia="en-GB"/>
              </w:rPr>
            </w:pPr>
            <w:r w:rsidRPr="00404B4F">
              <w:rPr>
                <w:rFonts w:cs="Arial"/>
                <w:b/>
                <w:szCs w:val="24"/>
                <w:lang w:eastAsia="en-GB"/>
              </w:rPr>
              <w:t>Movement between P2 and Quarter 1 after Spending Control Freeze</w:t>
            </w:r>
          </w:p>
        </w:tc>
      </w:tr>
      <w:tr w:rsidR="00AC2FFE" w:rsidRPr="00AC2FFE" w14:paraId="3BBC3965" w14:textId="77777777" w:rsidTr="00404B4F">
        <w:trPr>
          <w:trHeight w:val="276"/>
        </w:trPr>
        <w:tc>
          <w:tcPr>
            <w:tcW w:w="1905" w:type="dxa"/>
            <w:vMerge/>
            <w:tcBorders>
              <w:top w:val="single" w:sz="8" w:space="0" w:color="auto"/>
              <w:left w:val="single" w:sz="8" w:space="0" w:color="auto"/>
              <w:bottom w:val="nil"/>
              <w:right w:val="single" w:sz="8" w:space="0" w:color="auto"/>
            </w:tcBorders>
            <w:vAlign w:val="center"/>
            <w:hideMark/>
          </w:tcPr>
          <w:p w14:paraId="1BA1662B" w14:textId="77777777" w:rsidR="00AC2FFE" w:rsidRPr="00AC2FFE" w:rsidRDefault="00AC2FFE" w:rsidP="00D30E09">
            <w:pPr>
              <w:ind w:left="851" w:hanging="851"/>
              <w:rPr>
                <w:rFonts w:cs="Arial"/>
                <w:szCs w:val="24"/>
                <w:lang w:eastAsia="en-GB"/>
              </w:rPr>
            </w:pPr>
          </w:p>
        </w:tc>
        <w:tc>
          <w:tcPr>
            <w:tcW w:w="1985" w:type="dxa"/>
            <w:vMerge/>
            <w:tcBorders>
              <w:top w:val="single" w:sz="8" w:space="0" w:color="auto"/>
              <w:left w:val="single" w:sz="8" w:space="0" w:color="auto"/>
              <w:bottom w:val="nil"/>
              <w:right w:val="single" w:sz="8" w:space="0" w:color="auto"/>
            </w:tcBorders>
            <w:vAlign w:val="center"/>
            <w:hideMark/>
          </w:tcPr>
          <w:p w14:paraId="19D93B57" w14:textId="77777777" w:rsidR="00AC2FFE" w:rsidRPr="00AC2FFE" w:rsidRDefault="00AC2FFE" w:rsidP="00D30E09">
            <w:pPr>
              <w:ind w:left="851" w:hanging="851"/>
              <w:rPr>
                <w:rFonts w:cs="Arial"/>
                <w:szCs w:val="24"/>
                <w:lang w:eastAsia="en-GB"/>
              </w:rPr>
            </w:pPr>
          </w:p>
        </w:tc>
        <w:tc>
          <w:tcPr>
            <w:tcW w:w="1559" w:type="dxa"/>
            <w:vMerge/>
            <w:tcBorders>
              <w:top w:val="single" w:sz="8" w:space="0" w:color="auto"/>
              <w:left w:val="single" w:sz="8" w:space="0" w:color="auto"/>
              <w:bottom w:val="nil"/>
              <w:right w:val="single" w:sz="8" w:space="0" w:color="auto"/>
            </w:tcBorders>
            <w:vAlign w:val="center"/>
          </w:tcPr>
          <w:p w14:paraId="3DC64987" w14:textId="77777777" w:rsidR="00AC2FFE" w:rsidRPr="00AC2FFE" w:rsidRDefault="00AC2FFE" w:rsidP="00D30E09">
            <w:pPr>
              <w:ind w:left="851" w:hanging="851"/>
              <w:rPr>
                <w:rFonts w:cs="Arial"/>
                <w:szCs w:val="24"/>
                <w:lang w:eastAsia="en-GB"/>
              </w:rPr>
            </w:pPr>
          </w:p>
        </w:tc>
        <w:tc>
          <w:tcPr>
            <w:tcW w:w="2419" w:type="dxa"/>
            <w:vMerge/>
            <w:tcBorders>
              <w:top w:val="single" w:sz="8" w:space="0" w:color="auto"/>
              <w:left w:val="single" w:sz="8" w:space="0" w:color="auto"/>
              <w:bottom w:val="nil"/>
              <w:right w:val="single" w:sz="8" w:space="0" w:color="auto"/>
            </w:tcBorders>
            <w:vAlign w:val="center"/>
          </w:tcPr>
          <w:p w14:paraId="7AFFA079" w14:textId="77777777" w:rsidR="00AC2FFE" w:rsidRPr="00AC2FFE" w:rsidRDefault="00AC2FFE" w:rsidP="00D30E09">
            <w:pPr>
              <w:ind w:left="851" w:hanging="851"/>
              <w:rPr>
                <w:rFonts w:cs="Arial"/>
                <w:szCs w:val="24"/>
                <w:lang w:eastAsia="en-GB"/>
              </w:rPr>
            </w:pPr>
          </w:p>
        </w:tc>
      </w:tr>
      <w:tr w:rsidR="00AC2FFE" w:rsidRPr="00AC2FFE" w14:paraId="355F9CC8" w14:textId="77777777" w:rsidTr="00404B4F">
        <w:trPr>
          <w:trHeight w:val="276"/>
        </w:trPr>
        <w:tc>
          <w:tcPr>
            <w:tcW w:w="1905" w:type="dxa"/>
            <w:vMerge/>
            <w:tcBorders>
              <w:top w:val="single" w:sz="8" w:space="0" w:color="auto"/>
              <w:left w:val="single" w:sz="8" w:space="0" w:color="auto"/>
              <w:bottom w:val="nil"/>
              <w:right w:val="single" w:sz="8" w:space="0" w:color="auto"/>
            </w:tcBorders>
            <w:vAlign w:val="center"/>
            <w:hideMark/>
          </w:tcPr>
          <w:p w14:paraId="3EF29FB3" w14:textId="77777777" w:rsidR="00AC2FFE" w:rsidRPr="00AC2FFE" w:rsidRDefault="00AC2FFE" w:rsidP="00D30E09">
            <w:pPr>
              <w:ind w:left="851" w:hanging="851"/>
              <w:rPr>
                <w:rFonts w:cs="Arial"/>
                <w:szCs w:val="24"/>
                <w:lang w:eastAsia="en-GB"/>
              </w:rPr>
            </w:pPr>
          </w:p>
        </w:tc>
        <w:tc>
          <w:tcPr>
            <w:tcW w:w="1985" w:type="dxa"/>
            <w:vMerge/>
            <w:tcBorders>
              <w:top w:val="single" w:sz="8" w:space="0" w:color="auto"/>
              <w:left w:val="single" w:sz="8" w:space="0" w:color="auto"/>
              <w:bottom w:val="nil"/>
              <w:right w:val="single" w:sz="8" w:space="0" w:color="auto"/>
            </w:tcBorders>
            <w:vAlign w:val="center"/>
            <w:hideMark/>
          </w:tcPr>
          <w:p w14:paraId="7CE55EDB" w14:textId="77777777" w:rsidR="00AC2FFE" w:rsidRPr="00AC2FFE" w:rsidRDefault="00AC2FFE" w:rsidP="00D30E09">
            <w:pPr>
              <w:ind w:left="851" w:hanging="851"/>
              <w:rPr>
                <w:rFonts w:cs="Arial"/>
                <w:szCs w:val="24"/>
                <w:lang w:eastAsia="en-GB"/>
              </w:rPr>
            </w:pPr>
          </w:p>
        </w:tc>
        <w:tc>
          <w:tcPr>
            <w:tcW w:w="1559" w:type="dxa"/>
            <w:vMerge/>
            <w:tcBorders>
              <w:top w:val="single" w:sz="8" w:space="0" w:color="auto"/>
              <w:left w:val="single" w:sz="8" w:space="0" w:color="auto"/>
              <w:bottom w:val="nil"/>
              <w:right w:val="single" w:sz="8" w:space="0" w:color="auto"/>
            </w:tcBorders>
            <w:vAlign w:val="center"/>
          </w:tcPr>
          <w:p w14:paraId="0674E6AE" w14:textId="77777777" w:rsidR="00AC2FFE" w:rsidRPr="00AC2FFE" w:rsidRDefault="00AC2FFE" w:rsidP="00D30E09">
            <w:pPr>
              <w:ind w:left="851" w:hanging="851"/>
              <w:rPr>
                <w:rFonts w:cs="Arial"/>
                <w:szCs w:val="24"/>
                <w:lang w:eastAsia="en-GB"/>
              </w:rPr>
            </w:pPr>
          </w:p>
        </w:tc>
        <w:tc>
          <w:tcPr>
            <w:tcW w:w="2419" w:type="dxa"/>
            <w:vMerge/>
            <w:tcBorders>
              <w:top w:val="single" w:sz="8" w:space="0" w:color="auto"/>
              <w:left w:val="single" w:sz="8" w:space="0" w:color="auto"/>
              <w:bottom w:val="nil"/>
              <w:right w:val="single" w:sz="8" w:space="0" w:color="auto"/>
            </w:tcBorders>
            <w:vAlign w:val="center"/>
          </w:tcPr>
          <w:p w14:paraId="4DC26313" w14:textId="77777777" w:rsidR="00AC2FFE" w:rsidRPr="00AC2FFE" w:rsidRDefault="00AC2FFE" w:rsidP="00D30E09">
            <w:pPr>
              <w:ind w:left="851" w:hanging="851"/>
              <w:rPr>
                <w:rFonts w:cs="Arial"/>
                <w:szCs w:val="24"/>
                <w:lang w:eastAsia="en-GB"/>
              </w:rPr>
            </w:pPr>
          </w:p>
        </w:tc>
      </w:tr>
      <w:tr w:rsidR="00AC2FFE" w:rsidRPr="00AC2FFE" w14:paraId="379C6B17" w14:textId="77777777" w:rsidTr="00404B4F">
        <w:trPr>
          <w:trHeight w:val="675"/>
        </w:trPr>
        <w:tc>
          <w:tcPr>
            <w:tcW w:w="1905" w:type="dxa"/>
            <w:vMerge/>
            <w:tcBorders>
              <w:top w:val="single" w:sz="8" w:space="0" w:color="auto"/>
              <w:left w:val="single" w:sz="8" w:space="0" w:color="auto"/>
              <w:bottom w:val="nil"/>
              <w:right w:val="single" w:sz="8" w:space="0" w:color="auto"/>
            </w:tcBorders>
            <w:vAlign w:val="center"/>
            <w:hideMark/>
          </w:tcPr>
          <w:p w14:paraId="300E6612" w14:textId="77777777" w:rsidR="00AC2FFE" w:rsidRPr="00AC2FFE" w:rsidRDefault="00AC2FFE" w:rsidP="00D30E09">
            <w:pPr>
              <w:ind w:left="851" w:hanging="851"/>
              <w:rPr>
                <w:rFonts w:cs="Arial"/>
                <w:szCs w:val="24"/>
                <w:lang w:eastAsia="en-GB"/>
              </w:rPr>
            </w:pPr>
          </w:p>
        </w:tc>
        <w:tc>
          <w:tcPr>
            <w:tcW w:w="1985" w:type="dxa"/>
            <w:vMerge/>
            <w:tcBorders>
              <w:top w:val="single" w:sz="8" w:space="0" w:color="auto"/>
              <w:left w:val="single" w:sz="8" w:space="0" w:color="auto"/>
              <w:bottom w:val="nil"/>
              <w:right w:val="single" w:sz="8" w:space="0" w:color="auto"/>
            </w:tcBorders>
            <w:vAlign w:val="center"/>
            <w:hideMark/>
          </w:tcPr>
          <w:p w14:paraId="336E89F8" w14:textId="77777777" w:rsidR="00AC2FFE" w:rsidRPr="00AC2FFE" w:rsidRDefault="00AC2FFE" w:rsidP="00D30E09">
            <w:pPr>
              <w:ind w:left="851" w:hanging="851"/>
              <w:rPr>
                <w:rFonts w:cs="Arial"/>
                <w:szCs w:val="24"/>
                <w:lang w:eastAsia="en-GB"/>
              </w:rPr>
            </w:pPr>
          </w:p>
        </w:tc>
        <w:tc>
          <w:tcPr>
            <w:tcW w:w="1559" w:type="dxa"/>
            <w:vMerge/>
            <w:tcBorders>
              <w:top w:val="single" w:sz="8" w:space="0" w:color="auto"/>
              <w:left w:val="single" w:sz="8" w:space="0" w:color="auto"/>
              <w:bottom w:val="nil"/>
              <w:right w:val="single" w:sz="8" w:space="0" w:color="auto"/>
            </w:tcBorders>
            <w:vAlign w:val="center"/>
          </w:tcPr>
          <w:p w14:paraId="32AFC93C" w14:textId="77777777" w:rsidR="00AC2FFE" w:rsidRPr="00AC2FFE" w:rsidRDefault="00AC2FFE" w:rsidP="00D30E09">
            <w:pPr>
              <w:ind w:left="851" w:hanging="851"/>
              <w:rPr>
                <w:rFonts w:cs="Arial"/>
                <w:szCs w:val="24"/>
                <w:lang w:eastAsia="en-GB"/>
              </w:rPr>
            </w:pPr>
          </w:p>
        </w:tc>
        <w:tc>
          <w:tcPr>
            <w:tcW w:w="2419" w:type="dxa"/>
            <w:vMerge/>
            <w:tcBorders>
              <w:top w:val="single" w:sz="8" w:space="0" w:color="auto"/>
              <w:left w:val="single" w:sz="8" w:space="0" w:color="auto"/>
              <w:bottom w:val="nil"/>
              <w:right w:val="single" w:sz="8" w:space="0" w:color="auto"/>
            </w:tcBorders>
            <w:vAlign w:val="center"/>
          </w:tcPr>
          <w:p w14:paraId="1CC7C9FB" w14:textId="77777777" w:rsidR="00AC2FFE" w:rsidRPr="00AC2FFE" w:rsidRDefault="00AC2FFE" w:rsidP="00D30E09">
            <w:pPr>
              <w:ind w:left="851" w:hanging="851"/>
              <w:rPr>
                <w:rFonts w:cs="Arial"/>
                <w:szCs w:val="24"/>
                <w:lang w:eastAsia="en-GB"/>
              </w:rPr>
            </w:pPr>
          </w:p>
        </w:tc>
      </w:tr>
      <w:tr w:rsidR="000A1EAF" w:rsidRPr="00AC2FFE" w14:paraId="2C1C1DB5" w14:textId="77777777" w:rsidTr="00404B4F">
        <w:trPr>
          <w:trHeight w:val="132"/>
        </w:trPr>
        <w:tc>
          <w:tcPr>
            <w:tcW w:w="1905" w:type="dxa"/>
            <w:vMerge/>
            <w:tcBorders>
              <w:top w:val="single" w:sz="8" w:space="0" w:color="auto"/>
              <w:left w:val="single" w:sz="8" w:space="0" w:color="auto"/>
              <w:bottom w:val="nil"/>
              <w:right w:val="single" w:sz="8" w:space="0" w:color="auto"/>
            </w:tcBorders>
            <w:vAlign w:val="center"/>
            <w:hideMark/>
          </w:tcPr>
          <w:p w14:paraId="06C52115" w14:textId="77777777" w:rsidR="00AC2FFE" w:rsidRPr="00AC2FFE" w:rsidRDefault="00AC2FFE" w:rsidP="00D30E09">
            <w:pPr>
              <w:ind w:left="851" w:hanging="851"/>
              <w:rPr>
                <w:rFonts w:cs="Arial"/>
                <w:szCs w:val="24"/>
                <w:lang w:eastAsia="en-GB"/>
              </w:rPr>
            </w:pPr>
          </w:p>
        </w:tc>
        <w:tc>
          <w:tcPr>
            <w:tcW w:w="1985" w:type="dxa"/>
            <w:tcBorders>
              <w:top w:val="nil"/>
              <w:left w:val="nil"/>
              <w:bottom w:val="nil"/>
              <w:right w:val="single" w:sz="8" w:space="0" w:color="auto"/>
            </w:tcBorders>
            <w:shd w:val="clear" w:color="auto" w:fill="auto"/>
            <w:vAlign w:val="center"/>
            <w:hideMark/>
          </w:tcPr>
          <w:p w14:paraId="5392E04B" w14:textId="77777777" w:rsidR="00AC2FFE" w:rsidRPr="00AC2FFE" w:rsidRDefault="00AC2FFE" w:rsidP="00D30E09">
            <w:pPr>
              <w:ind w:left="851" w:hanging="851"/>
              <w:jc w:val="center"/>
              <w:rPr>
                <w:rFonts w:cs="Arial"/>
                <w:b/>
                <w:bCs/>
                <w:szCs w:val="24"/>
                <w:lang w:eastAsia="en-GB"/>
              </w:rPr>
            </w:pPr>
            <w:r w:rsidRPr="00AC2FFE">
              <w:rPr>
                <w:rFonts w:cs="Arial"/>
                <w:b/>
                <w:bCs/>
                <w:szCs w:val="24"/>
                <w:lang w:eastAsia="en-GB"/>
              </w:rPr>
              <w:t>£'000</w:t>
            </w:r>
          </w:p>
        </w:tc>
        <w:tc>
          <w:tcPr>
            <w:tcW w:w="1559" w:type="dxa"/>
            <w:tcBorders>
              <w:top w:val="nil"/>
              <w:left w:val="nil"/>
              <w:bottom w:val="nil"/>
              <w:right w:val="single" w:sz="8" w:space="0" w:color="auto"/>
            </w:tcBorders>
            <w:shd w:val="clear" w:color="auto" w:fill="auto"/>
            <w:vAlign w:val="center"/>
            <w:hideMark/>
          </w:tcPr>
          <w:p w14:paraId="44B389E4" w14:textId="77777777" w:rsidR="00AC2FFE" w:rsidRPr="00AC2FFE" w:rsidRDefault="00AC2FFE" w:rsidP="00D30E09">
            <w:pPr>
              <w:ind w:left="851" w:hanging="851"/>
              <w:jc w:val="center"/>
              <w:rPr>
                <w:rFonts w:cs="Arial"/>
                <w:b/>
                <w:bCs/>
                <w:szCs w:val="24"/>
                <w:lang w:eastAsia="en-GB"/>
              </w:rPr>
            </w:pPr>
            <w:r w:rsidRPr="00AC2FFE">
              <w:rPr>
                <w:rFonts w:cs="Arial"/>
                <w:b/>
                <w:bCs/>
                <w:szCs w:val="24"/>
                <w:lang w:eastAsia="en-GB"/>
              </w:rPr>
              <w:t>£'000</w:t>
            </w:r>
          </w:p>
        </w:tc>
        <w:tc>
          <w:tcPr>
            <w:tcW w:w="2419" w:type="dxa"/>
            <w:tcBorders>
              <w:top w:val="nil"/>
              <w:left w:val="nil"/>
              <w:bottom w:val="nil"/>
              <w:right w:val="single" w:sz="8" w:space="0" w:color="auto"/>
            </w:tcBorders>
            <w:shd w:val="clear" w:color="auto" w:fill="auto"/>
            <w:vAlign w:val="center"/>
            <w:hideMark/>
          </w:tcPr>
          <w:p w14:paraId="36BDD834" w14:textId="77777777" w:rsidR="00AC2FFE" w:rsidRPr="00AC2FFE" w:rsidRDefault="00AC2FFE" w:rsidP="00D30E09">
            <w:pPr>
              <w:ind w:left="851" w:hanging="851"/>
              <w:jc w:val="center"/>
              <w:rPr>
                <w:rFonts w:cs="Arial"/>
                <w:b/>
                <w:bCs/>
                <w:szCs w:val="24"/>
                <w:lang w:eastAsia="en-GB"/>
              </w:rPr>
            </w:pPr>
            <w:r w:rsidRPr="00AC2FFE">
              <w:rPr>
                <w:rFonts w:cs="Arial"/>
                <w:b/>
                <w:bCs/>
                <w:szCs w:val="24"/>
                <w:lang w:eastAsia="en-GB"/>
              </w:rPr>
              <w:t>£'000</w:t>
            </w:r>
          </w:p>
        </w:tc>
      </w:tr>
      <w:tr w:rsidR="00AC2FFE" w:rsidRPr="00AC2FFE" w14:paraId="07C747EA" w14:textId="77777777" w:rsidTr="00404B4F">
        <w:trPr>
          <w:trHeight w:val="300"/>
        </w:trPr>
        <w:tc>
          <w:tcPr>
            <w:tcW w:w="1905" w:type="dxa"/>
            <w:tcBorders>
              <w:top w:val="single" w:sz="4" w:space="0" w:color="auto"/>
              <w:left w:val="single" w:sz="4" w:space="0" w:color="auto"/>
              <w:bottom w:val="single" w:sz="4" w:space="0" w:color="auto"/>
              <w:right w:val="single" w:sz="4" w:space="0" w:color="auto"/>
            </w:tcBorders>
            <w:shd w:val="clear" w:color="auto" w:fill="auto"/>
            <w:hideMark/>
          </w:tcPr>
          <w:p w14:paraId="4DAC61EC" w14:textId="77777777" w:rsidR="00AC2FFE" w:rsidRPr="00AC2FFE" w:rsidRDefault="00AC2FFE" w:rsidP="00D30E09">
            <w:pPr>
              <w:ind w:left="851" w:hanging="851"/>
              <w:rPr>
                <w:rFonts w:cs="Arial"/>
                <w:szCs w:val="24"/>
                <w:lang w:eastAsia="en-GB"/>
              </w:rPr>
            </w:pPr>
            <w:r w:rsidRPr="00AC2FFE">
              <w:rPr>
                <w:rFonts w:cs="Arial"/>
                <w:szCs w:val="24"/>
                <w:lang w:eastAsia="en-GB"/>
              </w:rPr>
              <w:t>Adults</w:t>
            </w:r>
          </w:p>
        </w:tc>
        <w:tc>
          <w:tcPr>
            <w:tcW w:w="1985" w:type="dxa"/>
            <w:tcBorders>
              <w:top w:val="single" w:sz="4" w:space="0" w:color="auto"/>
              <w:left w:val="nil"/>
              <w:bottom w:val="single" w:sz="4" w:space="0" w:color="auto"/>
              <w:right w:val="single" w:sz="4" w:space="0" w:color="auto"/>
            </w:tcBorders>
            <w:shd w:val="clear" w:color="000000" w:fill="FFFFFF"/>
            <w:noWrap/>
            <w:vAlign w:val="bottom"/>
            <w:hideMark/>
          </w:tcPr>
          <w:p w14:paraId="69358B46" w14:textId="5F595A1C" w:rsidR="00AC2FFE" w:rsidRPr="00AC2FFE" w:rsidRDefault="00AC2FFE" w:rsidP="00D30E09">
            <w:pPr>
              <w:ind w:left="851" w:hanging="851"/>
              <w:jc w:val="center"/>
              <w:rPr>
                <w:rFonts w:cs="Arial"/>
                <w:color w:val="000000"/>
                <w:sz w:val="22"/>
                <w:szCs w:val="22"/>
                <w:lang w:eastAsia="en-GB"/>
              </w:rPr>
            </w:pPr>
            <w:r w:rsidRPr="00AC2FFE">
              <w:rPr>
                <w:rFonts w:cs="Arial"/>
                <w:color w:val="000000"/>
                <w:sz w:val="22"/>
                <w:szCs w:val="24"/>
                <w:lang w:eastAsia="en-GB"/>
              </w:rPr>
              <w:t> </w:t>
            </w:r>
            <w:r w:rsidR="00627173">
              <w:rPr>
                <w:rFonts w:cs="Arial"/>
                <w:color w:val="000000"/>
                <w:sz w:val="22"/>
                <w:szCs w:val="24"/>
                <w:lang w:eastAsia="en-GB"/>
              </w:rPr>
              <w:t>-</w:t>
            </w:r>
          </w:p>
        </w:tc>
        <w:tc>
          <w:tcPr>
            <w:tcW w:w="1559" w:type="dxa"/>
            <w:tcBorders>
              <w:top w:val="single" w:sz="4" w:space="0" w:color="auto"/>
              <w:left w:val="nil"/>
              <w:bottom w:val="single" w:sz="4" w:space="0" w:color="auto"/>
              <w:right w:val="single" w:sz="4" w:space="0" w:color="auto"/>
            </w:tcBorders>
            <w:shd w:val="clear" w:color="000000" w:fill="FFFFFF"/>
            <w:noWrap/>
            <w:vAlign w:val="bottom"/>
            <w:hideMark/>
          </w:tcPr>
          <w:p w14:paraId="462CF5E3" w14:textId="77777777" w:rsidR="00AC2FFE" w:rsidRPr="00AC2FFE" w:rsidRDefault="00AC2FFE" w:rsidP="00D30E09">
            <w:pPr>
              <w:ind w:left="851" w:hanging="851"/>
              <w:jc w:val="center"/>
              <w:rPr>
                <w:rFonts w:cs="Arial"/>
                <w:color w:val="000000"/>
                <w:sz w:val="22"/>
                <w:szCs w:val="22"/>
                <w:lang w:eastAsia="en-GB"/>
              </w:rPr>
            </w:pPr>
            <w:r w:rsidRPr="00AC2FFE">
              <w:rPr>
                <w:rFonts w:cs="Arial"/>
                <w:color w:val="000000"/>
                <w:sz w:val="22"/>
                <w:szCs w:val="24"/>
                <w:lang w:eastAsia="en-GB"/>
              </w:rPr>
              <w:t xml:space="preserve">     -</w:t>
            </w:r>
          </w:p>
        </w:tc>
        <w:tc>
          <w:tcPr>
            <w:tcW w:w="2419" w:type="dxa"/>
            <w:tcBorders>
              <w:top w:val="single" w:sz="4" w:space="0" w:color="auto"/>
              <w:left w:val="nil"/>
              <w:bottom w:val="single" w:sz="4" w:space="0" w:color="auto"/>
              <w:right w:val="single" w:sz="4" w:space="0" w:color="auto"/>
            </w:tcBorders>
            <w:shd w:val="clear" w:color="000000" w:fill="FFFFFF"/>
            <w:noWrap/>
            <w:vAlign w:val="bottom"/>
          </w:tcPr>
          <w:p w14:paraId="45E1F02A" w14:textId="01E2D3AB" w:rsidR="00AC2FFE" w:rsidRPr="00AC2FFE" w:rsidRDefault="00627173" w:rsidP="00D30E09">
            <w:pPr>
              <w:ind w:left="851" w:hanging="851"/>
              <w:jc w:val="center"/>
              <w:rPr>
                <w:rFonts w:cs="Arial"/>
                <w:color w:val="000000"/>
                <w:sz w:val="22"/>
                <w:szCs w:val="22"/>
                <w:lang w:eastAsia="en-GB"/>
              </w:rPr>
            </w:pPr>
            <w:r>
              <w:rPr>
                <w:rFonts w:cs="Arial"/>
                <w:color w:val="000000"/>
                <w:sz w:val="22"/>
                <w:szCs w:val="24"/>
                <w:lang w:eastAsia="en-GB"/>
              </w:rPr>
              <w:t>-</w:t>
            </w:r>
          </w:p>
        </w:tc>
      </w:tr>
      <w:tr w:rsidR="00AC2FFE" w:rsidRPr="00AC2FFE" w14:paraId="608691E9" w14:textId="77777777" w:rsidTr="00404B4F">
        <w:trPr>
          <w:trHeight w:val="300"/>
        </w:trPr>
        <w:tc>
          <w:tcPr>
            <w:tcW w:w="1905" w:type="dxa"/>
            <w:tcBorders>
              <w:top w:val="nil"/>
              <w:left w:val="single" w:sz="4" w:space="0" w:color="auto"/>
              <w:bottom w:val="single" w:sz="4" w:space="0" w:color="auto"/>
              <w:right w:val="single" w:sz="4" w:space="0" w:color="auto"/>
            </w:tcBorders>
            <w:shd w:val="clear" w:color="auto" w:fill="auto"/>
            <w:hideMark/>
          </w:tcPr>
          <w:p w14:paraId="031E8885" w14:textId="77777777" w:rsidR="00AC2FFE" w:rsidRPr="00AC2FFE" w:rsidRDefault="00AC2FFE" w:rsidP="00D30E09">
            <w:pPr>
              <w:ind w:left="851" w:hanging="851"/>
              <w:rPr>
                <w:rFonts w:cs="Arial"/>
                <w:szCs w:val="24"/>
                <w:lang w:eastAsia="en-GB"/>
              </w:rPr>
            </w:pPr>
            <w:r w:rsidRPr="00AC2FFE">
              <w:rPr>
                <w:rFonts w:cs="Arial"/>
                <w:szCs w:val="24"/>
                <w:lang w:eastAsia="en-GB"/>
              </w:rPr>
              <w:t>Public Health</w:t>
            </w:r>
          </w:p>
        </w:tc>
        <w:tc>
          <w:tcPr>
            <w:tcW w:w="1985" w:type="dxa"/>
            <w:tcBorders>
              <w:top w:val="nil"/>
              <w:left w:val="nil"/>
              <w:bottom w:val="single" w:sz="4" w:space="0" w:color="auto"/>
              <w:right w:val="single" w:sz="4" w:space="0" w:color="auto"/>
            </w:tcBorders>
            <w:shd w:val="clear" w:color="000000" w:fill="FFFFFF"/>
            <w:noWrap/>
            <w:vAlign w:val="bottom"/>
            <w:hideMark/>
          </w:tcPr>
          <w:p w14:paraId="456805BF" w14:textId="75DF0562" w:rsidR="00AC2FFE" w:rsidRPr="00AC2FFE" w:rsidRDefault="00AC2FFE" w:rsidP="00D30E09">
            <w:pPr>
              <w:ind w:left="851" w:hanging="851"/>
              <w:jc w:val="center"/>
              <w:rPr>
                <w:rFonts w:cs="Arial"/>
                <w:color w:val="000000"/>
                <w:sz w:val="22"/>
                <w:szCs w:val="22"/>
                <w:lang w:eastAsia="en-GB"/>
              </w:rPr>
            </w:pPr>
            <w:r w:rsidRPr="00AC2FFE">
              <w:rPr>
                <w:rFonts w:cs="Arial"/>
                <w:color w:val="000000"/>
                <w:sz w:val="22"/>
                <w:szCs w:val="24"/>
                <w:lang w:eastAsia="en-GB"/>
              </w:rPr>
              <w:t> </w:t>
            </w:r>
            <w:r w:rsidR="00627173">
              <w:rPr>
                <w:rFonts w:cs="Arial"/>
                <w:color w:val="000000"/>
                <w:sz w:val="22"/>
                <w:szCs w:val="24"/>
                <w:lang w:eastAsia="en-GB"/>
              </w:rPr>
              <w:t>-</w:t>
            </w:r>
          </w:p>
        </w:tc>
        <w:tc>
          <w:tcPr>
            <w:tcW w:w="1559" w:type="dxa"/>
            <w:tcBorders>
              <w:top w:val="nil"/>
              <w:left w:val="nil"/>
              <w:bottom w:val="single" w:sz="4" w:space="0" w:color="auto"/>
              <w:right w:val="single" w:sz="4" w:space="0" w:color="auto"/>
            </w:tcBorders>
            <w:shd w:val="clear" w:color="000000" w:fill="FFFFFF"/>
            <w:noWrap/>
            <w:vAlign w:val="bottom"/>
            <w:hideMark/>
          </w:tcPr>
          <w:p w14:paraId="42B14967" w14:textId="77777777" w:rsidR="00AC2FFE" w:rsidRPr="00AC2FFE" w:rsidRDefault="00AC2FFE" w:rsidP="00D30E09">
            <w:pPr>
              <w:ind w:left="851" w:hanging="851"/>
              <w:jc w:val="center"/>
              <w:rPr>
                <w:rFonts w:cs="Arial"/>
                <w:color w:val="000000"/>
                <w:sz w:val="22"/>
                <w:szCs w:val="22"/>
                <w:lang w:eastAsia="en-GB"/>
              </w:rPr>
            </w:pPr>
            <w:r w:rsidRPr="00AC2FFE">
              <w:rPr>
                <w:rFonts w:cs="Arial"/>
                <w:color w:val="000000"/>
                <w:sz w:val="22"/>
                <w:szCs w:val="24"/>
                <w:lang w:eastAsia="en-GB"/>
              </w:rPr>
              <w:t xml:space="preserve">     -</w:t>
            </w:r>
          </w:p>
        </w:tc>
        <w:tc>
          <w:tcPr>
            <w:tcW w:w="2419" w:type="dxa"/>
            <w:tcBorders>
              <w:top w:val="nil"/>
              <w:left w:val="nil"/>
              <w:bottom w:val="single" w:sz="4" w:space="0" w:color="auto"/>
              <w:right w:val="single" w:sz="4" w:space="0" w:color="auto"/>
            </w:tcBorders>
            <w:shd w:val="clear" w:color="000000" w:fill="FFFFFF"/>
            <w:noWrap/>
            <w:vAlign w:val="bottom"/>
          </w:tcPr>
          <w:p w14:paraId="2659DD2B" w14:textId="07DE7EA3" w:rsidR="00AC2FFE" w:rsidRPr="00AC2FFE" w:rsidRDefault="00627173" w:rsidP="00D30E09">
            <w:pPr>
              <w:ind w:left="851" w:hanging="851"/>
              <w:jc w:val="center"/>
              <w:rPr>
                <w:rFonts w:cs="Arial"/>
                <w:color w:val="000000"/>
                <w:sz w:val="22"/>
                <w:szCs w:val="22"/>
                <w:lang w:eastAsia="en-GB"/>
              </w:rPr>
            </w:pPr>
            <w:r>
              <w:rPr>
                <w:rFonts w:cs="Arial"/>
                <w:color w:val="FF0000"/>
                <w:sz w:val="22"/>
                <w:szCs w:val="24"/>
                <w:lang w:eastAsia="en-GB"/>
              </w:rPr>
              <w:t>-</w:t>
            </w:r>
          </w:p>
        </w:tc>
      </w:tr>
      <w:tr w:rsidR="00AC2FFE" w:rsidRPr="00AC2FFE" w14:paraId="4F992B6D" w14:textId="77777777" w:rsidTr="00404B4F">
        <w:trPr>
          <w:trHeight w:val="300"/>
        </w:trPr>
        <w:tc>
          <w:tcPr>
            <w:tcW w:w="1905" w:type="dxa"/>
            <w:tcBorders>
              <w:top w:val="nil"/>
              <w:left w:val="single" w:sz="4" w:space="0" w:color="auto"/>
              <w:bottom w:val="single" w:sz="4" w:space="0" w:color="auto"/>
              <w:right w:val="single" w:sz="4" w:space="0" w:color="auto"/>
            </w:tcBorders>
            <w:shd w:val="clear" w:color="auto" w:fill="auto"/>
            <w:hideMark/>
          </w:tcPr>
          <w:p w14:paraId="259888F0" w14:textId="77777777" w:rsidR="00AC2FFE" w:rsidRPr="00AC2FFE" w:rsidRDefault="00AC2FFE" w:rsidP="00D30E09">
            <w:pPr>
              <w:ind w:left="851" w:hanging="851"/>
              <w:rPr>
                <w:rFonts w:cs="Arial"/>
                <w:szCs w:val="24"/>
                <w:lang w:eastAsia="en-GB"/>
              </w:rPr>
            </w:pPr>
            <w:r w:rsidRPr="00AC2FFE">
              <w:rPr>
                <w:rFonts w:cs="Arial"/>
                <w:szCs w:val="24"/>
                <w:lang w:eastAsia="en-GB"/>
              </w:rPr>
              <w:t>Children</w:t>
            </w:r>
          </w:p>
        </w:tc>
        <w:tc>
          <w:tcPr>
            <w:tcW w:w="1985" w:type="dxa"/>
            <w:tcBorders>
              <w:top w:val="nil"/>
              <w:left w:val="nil"/>
              <w:bottom w:val="single" w:sz="4" w:space="0" w:color="auto"/>
              <w:right w:val="single" w:sz="4" w:space="0" w:color="auto"/>
            </w:tcBorders>
            <w:shd w:val="clear" w:color="000000" w:fill="FFFFFF"/>
            <w:noWrap/>
            <w:vAlign w:val="bottom"/>
            <w:hideMark/>
          </w:tcPr>
          <w:p w14:paraId="67CA2B3D" w14:textId="77777777" w:rsidR="00AC2FFE" w:rsidRPr="00AC2FFE" w:rsidRDefault="00AC2FFE" w:rsidP="00D30E09">
            <w:pPr>
              <w:ind w:left="851" w:hanging="851"/>
              <w:jc w:val="center"/>
              <w:rPr>
                <w:rFonts w:cs="Arial"/>
                <w:color w:val="000000"/>
                <w:sz w:val="22"/>
                <w:szCs w:val="22"/>
                <w:lang w:eastAsia="en-GB"/>
              </w:rPr>
            </w:pPr>
            <w:r w:rsidRPr="00AC2FFE">
              <w:rPr>
                <w:rFonts w:cs="Arial"/>
                <w:color w:val="000000"/>
                <w:sz w:val="22"/>
                <w:szCs w:val="24"/>
                <w:lang w:eastAsia="en-GB"/>
              </w:rPr>
              <w:t> 3,560</w:t>
            </w:r>
          </w:p>
        </w:tc>
        <w:tc>
          <w:tcPr>
            <w:tcW w:w="1559" w:type="dxa"/>
            <w:tcBorders>
              <w:top w:val="nil"/>
              <w:left w:val="nil"/>
              <w:bottom w:val="single" w:sz="4" w:space="0" w:color="auto"/>
              <w:right w:val="single" w:sz="4" w:space="0" w:color="auto"/>
            </w:tcBorders>
            <w:shd w:val="clear" w:color="000000" w:fill="FFFFFF"/>
            <w:noWrap/>
            <w:vAlign w:val="bottom"/>
            <w:hideMark/>
          </w:tcPr>
          <w:p w14:paraId="51E9AB03" w14:textId="77777777" w:rsidR="00AC2FFE" w:rsidRPr="00AC2FFE" w:rsidRDefault="00AC2FFE" w:rsidP="00D30E09">
            <w:pPr>
              <w:ind w:left="851" w:hanging="851"/>
              <w:jc w:val="center"/>
              <w:rPr>
                <w:rFonts w:cs="Arial"/>
                <w:color w:val="000000"/>
                <w:sz w:val="22"/>
                <w:szCs w:val="22"/>
                <w:lang w:eastAsia="en-GB"/>
              </w:rPr>
            </w:pPr>
            <w:r w:rsidRPr="00AC2FFE">
              <w:rPr>
                <w:rFonts w:cs="Arial"/>
                <w:color w:val="000000"/>
                <w:sz w:val="22"/>
                <w:szCs w:val="24"/>
                <w:lang w:eastAsia="en-GB"/>
              </w:rPr>
              <w:t>4,109</w:t>
            </w:r>
          </w:p>
        </w:tc>
        <w:tc>
          <w:tcPr>
            <w:tcW w:w="2419" w:type="dxa"/>
            <w:tcBorders>
              <w:top w:val="nil"/>
              <w:left w:val="nil"/>
              <w:bottom w:val="single" w:sz="4" w:space="0" w:color="auto"/>
              <w:right w:val="single" w:sz="4" w:space="0" w:color="auto"/>
            </w:tcBorders>
            <w:shd w:val="clear" w:color="000000" w:fill="FFFFFF"/>
            <w:noWrap/>
            <w:vAlign w:val="bottom"/>
            <w:hideMark/>
          </w:tcPr>
          <w:p w14:paraId="0C52627E" w14:textId="77777777" w:rsidR="00AC2FFE" w:rsidRPr="00AC2FFE" w:rsidRDefault="00AC2FFE" w:rsidP="00D30E09">
            <w:pPr>
              <w:ind w:left="851" w:hanging="851"/>
              <w:jc w:val="center"/>
              <w:rPr>
                <w:rFonts w:cs="Arial"/>
                <w:color w:val="000000"/>
                <w:sz w:val="22"/>
                <w:szCs w:val="22"/>
                <w:lang w:eastAsia="en-GB"/>
              </w:rPr>
            </w:pPr>
            <w:r w:rsidRPr="00AC2FFE">
              <w:rPr>
                <w:rFonts w:cs="Arial"/>
                <w:color w:val="000000"/>
                <w:sz w:val="22"/>
                <w:szCs w:val="24"/>
                <w:lang w:eastAsia="en-GB"/>
              </w:rPr>
              <w:t> (549)</w:t>
            </w:r>
          </w:p>
        </w:tc>
      </w:tr>
      <w:tr w:rsidR="00AC2FFE" w:rsidRPr="00AC2FFE" w14:paraId="7E033EE5" w14:textId="77777777" w:rsidTr="00404B4F">
        <w:trPr>
          <w:trHeight w:val="315"/>
        </w:trPr>
        <w:tc>
          <w:tcPr>
            <w:tcW w:w="1905" w:type="dxa"/>
            <w:tcBorders>
              <w:top w:val="nil"/>
              <w:left w:val="single" w:sz="4" w:space="0" w:color="auto"/>
              <w:bottom w:val="single" w:sz="4" w:space="0" w:color="auto"/>
              <w:right w:val="single" w:sz="4" w:space="0" w:color="auto"/>
            </w:tcBorders>
            <w:shd w:val="clear" w:color="auto" w:fill="auto"/>
            <w:hideMark/>
          </w:tcPr>
          <w:p w14:paraId="4223E285" w14:textId="77777777" w:rsidR="00AC2FFE" w:rsidRPr="00AC2FFE" w:rsidRDefault="00AC2FFE" w:rsidP="00D30E09">
            <w:pPr>
              <w:ind w:left="851" w:hanging="851"/>
              <w:rPr>
                <w:rFonts w:cs="Arial"/>
                <w:b/>
                <w:bCs/>
                <w:szCs w:val="24"/>
                <w:lang w:eastAsia="en-GB"/>
              </w:rPr>
            </w:pPr>
            <w:r w:rsidRPr="00AC2FFE">
              <w:rPr>
                <w:rFonts w:cs="Arial"/>
                <w:b/>
                <w:bCs/>
                <w:szCs w:val="24"/>
                <w:lang w:eastAsia="en-GB"/>
              </w:rPr>
              <w:t>Total</w:t>
            </w:r>
          </w:p>
        </w:tc>
        <w:tc>
          <w:tcPr>
            <w:tcW w:w="1985" w:type="dxa"/>
            <w:tcBorders>
              <w:top w:val="nil"/>
              <w:left w:val="nil"/>
              <w:bottom w:val="single" w:sz="4" w:space="0" w:color="auto"/>
              <w:right w:val="single" w:sz="4" w:space="0" w:color="auto"/>
            </w:tcBorders>
            <w:shd w:val="clear" w:color="000000" w:fill="FFFFFF"/>
            <w:noWrap/>
            <w:vAlign w:val="bottom"/>
            <w:hideMark/>
          </w:tcPr>
          <w:p w14:paraId="75B5CDB2" w14:textId="7DACEB2F" w:rsidR="00AC2FFE" w:rsidRPr="00AC2FFE" w:rsidRDefault="00AC2FFE" w:rsidP="00D30E09">
            <w:pPr>
              <w:ind w:left="851" w:hanging="851"/>
              <w:jc w:val="center"/>
              <w:rPr>
                <w:rFonts w:cs="Arial"/>
                <w:b/>
                <w:bCs/>
                <w:color w:val="000000"/>
                <w:sz w:val="22"/>
                <w:szCs w:val="22"/>
                <w:lang w:eastAsia="en-GB"/>
              </w:rPr>
            </w:pPr>
            <w:r w:rsidRPr="00AC2FFE">
              <w:rPr>
                <w:rFonts w:cs="Arial"/>
                <w:b/>
                <w:bCs/>
                <w:color w:val="000000"/>
                <w:sz w:val="22"/>
                <w:szCs w:val="24"/>
                <w:lang w:eastAsia="en-GB"/>
              </w:rPr>
              <w:t> 3,</w:t>
            </w:r>
            <w:r w:rsidR="00627173">
              <w:rPr>
                <w:rFonts w:cs="Arial"/>
                <w:b/>
                <w:bCs/>
                <w:color w:val="000000"/>
                <w:sz w:val="22"/>
                <w:szCs w:val="24"/>
                <w:lang w:eastAsia="en-GB"/>
              </w:rPr>
              <w:t>560</w:t>
            </w:r>
          </w:p>
        </w:tc>
        <w:tc>
          <w:tcPr>
            <w:tcW w:w="1559" w:type="dxa"/>
            <w:tcBorders>
              <w:top w:val="nil"/>
              <w:left w:val="nil"/>
              <w:bottom w:val="single" w:sz="4" w:space="0" w:color="auto"/>
              <w:right w:val="single" w:sz="4" w:space="0" w:color="auto"/>
            </w:tcBorders>
            <w:shd w:val="clear" w:color="000000" w:fill="FFFFFF"/>
            <w:noWrap/>
            <w:vAlign w:val="bottom"/>
            <w:hideMark/>
          </w:tcPr>
          <w:p w14:paraId="5AA12D82" w14:textId="77777777" w:rsidR="00AC2FFE" w:rsidRPr="00AC2FFE" w:rsidRDefault="00AC2FFE" w:rsidP="00D30E09">
            <w:pPr>
              <w:ind w:left="851" w:hanging="851"/>
              <w:jc w:val="center"/>
              <w:rPr>
                <w:rFonts w:cs="Arial"/>
                <w:b/>
                <w:bCs/>
                <w:color w:val="000000"/>
                <w:sz w:val="22"/>
                <w:szCs w:val="22"/>
                <w:lang w:eastAsia="en-GB"/>
              </w:rPr>
            </w:pPr>
            <w:r w:rsidRPr="00AC2FFE">
              <w:rPr>
                <w:rFonts w:cs="Arial"/>
                <w:b/>
                <w:bCs/>
                <w:color w:val="000000"/>
                <w:sz w:val="22"/>
                <w:szCs w:val="24"/>
                <w:lang w:eastAsia="en-GB"/>
              </w:rPr>
              <w:t>4,109</w:t>
            </w:r>
          </w:p>
        </w:tc>
        <w:tc>
          <w:tcPr>
            <w:tcW w:w="2419" w:type="dxa"/>
            <w:tcBorders>
              <w:top w:val="nil"/>
              <w:left w:val="nil"/>
              <w:bottom w:val="single" w:sz="4" w:space="0" w:color="auto"/>
              <w:right w:val="single" w:sz="4" w:space="0" w:color="auto"/>
            </w:tcBorders>
            <w:shd w:val="clear" w:color="000000" w:fill="FFFFFF"/>
            <w:noWrap/>
            <w:vAlign w:val="bottom"/>
            <w:hideMark/>
          </w:tcPr>
          <w:p w14:paraId="745BBA33" w14:textId="6DC75E36" w:rsidR="00AC2FFE" w:rsidRPr="00AC2FFE" w:rsidRDefault="00AC2FFE" w:rsidP="00D30E09">
            <w:pPr>
              <w:ind w:left="851" w:hanging="851"/>
              <w:jc w:val="center"/>
              <w:rPr>
                <w:rFonts w:cs="Arial"/>
                <w:b/>
                <w:bCs/>
                <w:color w:val="000000"/>
                <w:sz w:val="22"/>
                <w:szCs w:val="22"/>
                <w:lang w:eastAsia="en-GB"/>
              </w:rPr>
            </w:pPr>
            <w:r w:rsidRPr="00AC2FFE">
              <w:rPr>
                <w:rFonts w:cs="Arial"/>
                <w:b/>
                <w:bCs/>
                <w:color w:val="000000"/>
                <w:sz w:val="22"/>
                <w:szCs w:val="24"/>
                <w:lang w:eastAsia="en-GB"/>
              </w:rPr>
              <w:t> (</w:t>
            </w:r>
            <w:r w:rsidR="00627173">
              <w:rPr>
                <w:rFonts w:cs="Arial"/>
                <w:b/>
                <w:bCs/>
                <w:color w:val="000000"/>
                <w:sz w:val="22"/>
                <w:szCs w:val="24"/>
                <w:lang w:eastAsia="en-GB"/>
              </w:rPr>
              <w:t>549</w:t>
            </w:r>
            <w:r w:rsidRPr="00AC2FFE">
              <w:rPr>
                <w:rFonts w:cs="Arial"/>
                <w:b/>
                <w:bCs/>
                <w:color w:val="000000"/>
                <w:sz w:val="22"/>
                <w:szCs w:val="24"/>
                <w:lang w:eastAsia="en-GB"/>
              </w:rPr>
              <w:t>)</w:t>
            </w:r>
          </w:p>
        </w:tc>
      </w:tr>
    </w:tbl>
    <w:p w14:paraId="5717FC59" w14:textId="0AA42866" w:rsidR="00AC2FFE" w:rsidRDefault="00AC2FFE" w:rsidP="00D30E09">
      <w:pPr>
        <w:spacing w:after="120"/>
        <w:ind w:left="851" w:hanging="851"/>
        <w:jc w:val="both"/>
        <w:rPr>
          <w:bCs/>
        </w:rPr>
      </w:pPr>
    </w:p>
    <w:p w14:paraId="486B3E80" w14:textId="55499E13" w:rsidR="004034F2" w:rsidRPr="00ED4141" w:rsidRDefault="004034F2" w:rsidP="00D30E09">
      <w:pPr>
        <w:spacing w:after="120"/>
        <w:ind w:left="851" w:hanging="851"/>
        <w:jc w:val="both"/>
        <w:rPr>
          <w:bCs/>
        </w:rPr>
      </w:pPr>
      <w:r w:rsidRPr="00ED4141">
        <w:rPr>
          <w:bCs/>
        </w:rPr>
        <w:t>ADULT SERVICES</w:t>
      </w:r>
    </w:p>
    <w:p w14:paraId="78AA5768" w14:textId="14762C4A" w:rsidR="004034F2" w:rsidRPr="00270959" w:rsidRDefault="004034F2" w:rsidP="00404B4F">
      <w:pPr>
        <w:pStyle w:val="ListParagraph"/>
        <w:numPr>
          <w:ilvl w:val="1"/>
          <w:numId w:val="64"/>
        </w:numPr>
        <w:spacing w:after="120"/>
        <w:ind w:left="709" w:hanging="709"/>
        <w:jc w:val="both"/>
        <w:rPr>
          <w:bCs/>
        </w:rPr>
      </w:pPr>
      <w:r w:rsidRPr="00270959">
        <w:rPr>
          <w:bCs/>
        </w:rPr>
        <w:t xml:space="preserve">Adults Services are reporting a balanced position. This balanced position is achieved after assuming a drawdown from reserves of </w:t>
      </w:r>
      <w:r w:rsidR="008D3348" w:rsidRPr="00270959">
        <w:rPr>
          <w:bCs/>
        </w:rPr>
        <w:t>(</w:t>
      </w:r>
      <w:r w:rsidRPr="00270959">
        <w:rPr>
          <w:bCs/>
        </w:rPr>
        <w:t>£380k</w:t>
      </w:r>
      <w:r w:rsidR="008D3348" w:rsidRPr="00270959">
        <w:rPr>
          <w:bCs/>
        </w:rPr>
        <w:t>)</w:t>
      </w:r>
      <w:r w:rsidR="00C00C34" w:rsidRPr="00270959">
        <w:rPr>
          <w:bCs/>
        </w:rPr>
        <w:t xml:space="preserve"> as detailed in appendix 3 to this report.</w:t>
      </w:r>
    </w:p>
    <w:p w14:paraId="1D91AEFE" w14:textId="148DD14D" w:rsidR="006C3281" w:rsidRPr="00052558" w:rsidRDefault="00E653B5" w:rsidP="000A1EAF">
      <w:pPr>
        <w:pStyle w:val="ListParagraph"/>
        <w:numPr>
          <w:ilvl w:val="1"/>
          <w:numId w:val="64"/>
        </w:numPr>
        <w:spacing w:after="120"/>
        <w:ind w:left="709" w:hanging="709"/>
        <w:jc w:val="both"/>
        <w:rPr>
          <w:bCs/>
        </w:rPr>
      </w:pPr>
      <w:r w:rsidRPr="00052558">
        <w:rPr>
          <w:bCs/>
        </w:rPr>
        <w:t>Whilst the service received MTFS growth, together with the announcement of the improved B</w:t>
      </w:r>
      <w:r w:rsidR="006C3281" w:rsidRPr="00052558">
        <w:rPr>
          <w:bCs/>
        </w:rPr>
        <w:t xml:space="preserve">etter </w:t>
      </w:r>
      <w:r w:rsidRPr="00052558">
        <w:rPr>
          <w:bCs/>
        </w:rPr>
        <w:t>C</w:t>
      </w:r>
      <w:r w:rsidR="006C3281" w:rsidRPr="00052558">
        <w:rPr>
          <w:bCs/>
        </w:rPr>
        <w:t xml:space="preserve">are </w:t>
      </w:r>
      <w:r w:rsidRPr="00052558">
        <w:rPr>
          <w:bCs/>
        </w:rPr>
        <w:t>F</w:t>
      </w:r>
      <w:r w:rsidR="006C3281" w:rsidRPr="00052558">
        <w:rPr>
          <w:bCs/>
        </w:rPr>
        <w:t>und</w:t>
      </w:r>
      <w:r w:rsidRPr="00052558">
        <w:rPr>
          <w:bCs/>
        </w:rPr>
        <w:t xml:space="preserve"> funding, th</w:t>
      </w:r>
      <w:r w:rsidR="00C00C34">
        <w:rPr>
          <w:bCs/>
        </w:rPr>
        <w:t>e</w:t>
      </w:r>
      <w:r w:rsidRPr="00052558">
        <w:rPr>
          <w:bCs/>
        </w:rPr>
        <w:t xml:space="preserve"> front line demand led service continues to face cost pressures in relation to the provision of services, arising largely from increasing complexities and also the interface with health.</w:t>
      </w:r>
    </w:p>
    <w:p w14:paraId="6D0791DD" w14:textId="76259E39" w:rsidR="00E653B5" w:rsidRPr="00052558" w:rsidRDefault="00E653B5" w:rsidP="000A1EAF">
      <w:pPr>
        <w:pStyle w:val="ListParagraph"/>
        <w:numPr>
          <w:ilvl w:val="1"/>
          <w:numId w:val="64"/>
        </w:numPr>
        <w:spacing w:after="120"/>
        <w:ind w:left="709" w:hanging="709"/>
        <w:jc w:val="both"/>
        <w:rPr>
          <w:bCs/>
        </w:rPr>
      </w:pPr>
      <w:r w:rsidRPr="00052558">
        <w:rPr>
          <w:bCs/>
        </w:rPr>
        <w:t xml:space="preserve">The service is working towards containing these pressures within the approved </w:t>
      </w:r>
      <w:r w:rsidR="006C3281" w:rsidRPr="00052558">
        <w:rPr>
          <w:bCs/>
        </w:rPr>
        <w:t>budget;</w:t>
      </w:r>
      <w:r w:rsidRPr="00052558">
        <w:rPr>
          <w:bCs/>
        </w:rPr>
        <w:t xml:space="preserve"> however this continues to be challenging. The A</w:t>
      </w:r>
      <w:r w:rsidR="006C3281" w:rsidRPr="00052558">
        <w:rPr>
          <w:bCs/>
        </w:rPr>
        <w:t xml:space="preserve">dult </w:t>
      </w:r>
      <w:r w:rsidRPr="00052558">
        <w:rPr>
          <w:bCs/>
        </w:rPr>
        <w:t>S</w:t>
      </w:r>
      <w:r w:rsidR="006C3281" w:rsidRPr="00052558">
        <w:rPr>
          <w:bCs/>
        </w:rPr>
        <w:t xml:space="preserve">ocial </w:t>
      </w:r>
      <w:r w:rsidRPr="00052558">
        <w:rPr>
          <w:bCs/>
        </w:rPr>
        <w:t>C</w:t>
      </w:r>
      <w:r w:rsidR="006C3281" w:rsidRPr="00052558">
        <w:rPr>
          <w:bCs/>
        </w:rPr>
        <w:t>are</w:t>
      </w:r>
      <w:r w:rsidRPr="00052558">
        <w:rPr>
          <w:bCs/>
        </w:rPr>
        <w:t xml:space="preserve"> grant of £3.6m will be committed in line with the grant conditions and is expected to enable a balanced </w:t>
      </w:r>
      <w:r w:rsidR="009102CE">
        <w:rPr>
          <w:bCs/>
        </w:rPr>
        <w:t xml:space="preserve">position </w:t>
      </w:r>
      <w:r w:rsidRPr="00052558">
        <w:rPr>
          <w:bCs/>
        </w:rPr>
        <w:t>by 31</w:t>
      </w:r>
      <w:r w:rsidRPr="00052558">
        <w:rPr>
          <w:bCs/>
          <w:vertAlign w:val="superscript"/>
        </w:rPr>
        <w:t>st</w:t>
      </w:r>
      <w:r w:rsidRPr="00052558">
        <w:rPr>
          <w:bCs/>
        </w:rPr>
        <w:t xml:space="preserve"> March 2018.</w:t>
      </w:r>
    </w:p>
    <w:p w14:paraId="07940ABC" w14:textId="77777777" w:rsidR="00052558" w:rsidRPr="00BB0A57" w:rsidRDefault="00052558" w:rsidP="00404B4F">
      <w:pPr>
        <w:pStyle w:val="ListParagraph"/>
        <w:numPr>
          <w:ilvl w:val="1"/>
          <w:numId w:val="64"/>
        </w:numPr>
        <w:spacing w:after="120"/>
        <w:ind w:left="709" w:hanging="709"/>
        <w:jc w:val="both"/>
        <w:rPr>
          <w:bCs/>
        </w:rPr>
      </w:pPr>
      <w:r w:rsidRPr="00BB0A57">
        <w:rPr>
          <w:bCs/>
        </w:rPr>
        <w:t>Within Adult Social Care, purchasing pressures are continuing to rise (forecast overspend of £1.7m), especially relating to the increased weeks of care required for residential and nursing placements. In particular, a number of new trends since the budget was set in February,  are emerging that carry increased financial  challenge, such as:</w:t>
      </w:r>
    </w:p>
    <w:p w14:paraId="0E8BD602" w14:textId="0D140EA7" w:rsidR="004034F2" w:rsidRPr="00052558" w:rsidRDefault="001B5724" w:rsidP="003D61E1">
      <w:pPr>
        <w:numPr>
          <w:ilvl w:val="1"/>
          <w:numId w:val="11"/>
        </w:numPr>
        <w:jc w:val="both"/>
        <w:rPr>
          <w:bCs/>
        </w:rPr>
      </w:pPr>
      <w:r>
        <w:rPr>
          <w:bCs/>
        </w:rPr>
        <w:t>T</w:t>
      </w:r>
      <w:r w:rsidR="004034F2" w:rsidRPr="00052558">
        <w:rPr>
          <w:bCs/>
        </w:rPr>
        <w:t>he complexities existing between residential and nursing care ha</w:t>
      </w:r>
      <w:r w:rsidR="00E653B5" w:rsidRPr="00052558">
        <w:rPr>
          <w:bCs/>
        </w:rPr>
        <w:t>ve</w:t>
      </w:r>
      <w:r w:rsidR="004034F2" w:rsidRPr="00052558">
        <w:rPr>
          <w:bCs/>
        </w:rPr>
        <w:t xml:space="preserve"> shifted resulting in increased placements in nursing care and increased weekly costs of residential placements</w:t>
      </w:r>
      <w:r w:rsidR="00B22CA8">
        <w:rPr>
          <w:bCs/>
        </w:rPr>
        <w:t>.</w:t>
      </w:r>
    </w:p>
    <w:p w14:paraId="259DC6D2" w14:textId="5582D803" w:rsidR="004034F2" w:rsidRPr="00052558" w:rsidRDefault="001B5724" w:rsidP="003D61E1">
      <w:pPr>
        <w:numPr>
          <w:ilvl w:val="1"/>
          <w:numId w:val="11"/>
        </w:numPr>
        <w:jc w:val="both"/>
        <w:rPr>
          <w:bCs/>
        </w:rPr>
      </w:pPr>
      <w:r>
        <w:rPr>
          <w:bCs/>
        </w:rPr>
        <w:t>A</w:t>
      </w:r>
      <w:r w:rsidR="004034F2" w:rsidRPr="00052558">
        <w:rPr>
          <w:bCs/>
        </w:rPr>
        <w:t>n increasing trend towards dementia in younger adults, resulting in a longer financial commitment tha</w:t>
      </w:r>
      <w:r w:rsidR="00E653B5" w:rsidRPr="00052558">
        <w:rPr>
          <w:bCs/>
        </w:rPr>
        <w:t>n</w:t>
      </w:r>
      <w:r w:rsidR="004034F2" w:rsidRPr="00052558">
        <w:rPr>
          <w:bCs/>
        </w:rPr>
        <w:t xml:space="preserve"> previously anticipated</w:t>
      </w:r>
      <w:r w:rsidR="00B22CA8">
        <w:rPr>
          <w:bCs/>
        </w:rPr>
        <w:t>.</w:t>
      </w:r>
    </w:p>
    <w:p w14:paraId="30E133B1" w14:textId="2FE02B2E" w:rsidR="004034F2" w:rsidRPr="00052558" w:rsidRDefault="004034F2" w:rsidP="003D61E1">
      <w:pPr>
        <w:numPr>
          <w:ilvl w:val="1"/>
          <w:numId w:val="11"/>
        </w:numPr>
        <w:jc w:val="both"/>
        <w:rPr>
          <w:bCs/>
        </w:rPr>
      </w:pPr>
      <w:r w:rsidRPr="00052558">
        <w:rPr>
          <w:bCs/>
        </w:rPr>
        <w:t xml:space="preserve">A 21% increase in the </w:t>
      </w:r>
      <w:r w:rsidR="00E74909">
        <w:rPr>
          <w:bCs/>
        </w:rPr>
        <w:t xml:space="preserve">number of </w:t>
      </w:r>
      <w:r w:rsidRPr="00052558">
        <w:rPr>
          <w:bCs/>
        </w:rPr>
        <w:t>discharges from hospital into adult social care</w:t>
      </w:r>
      <w:r w:rsidR="00B22CA8">
        <w:rPr>
          <w:bCs/>
        </w:rPr>
        <w:t>.</w:t>
      </w:r>
    </w:p>
    <w:p w14:paraId="4A88D921" w14:textId="66076C51" w:rsidR="004034F2" w:rsidRPr="00052558" w:rsidRDefault="00A7379D" w:rsidP="003D61E1">
      <w:pPr>
        <w:numPr>
          <w:ilvl w:val="1"/>
          <w:numId w:val="11"/>
        </w:numPr>
        <w:jc w:val="both"/>
        <w:rPr>
          <w:bCs/>
        </w:rPr>
      </w:pPr>
      <w:r w:rsidRPr="00052558">
        <w:rPr>
          <w:bCs/>
        </w:rPr>
        <w:t>Continuing</w:t>
      </w:r>
      <w:r w:rsidR="004034F2" w:rsidRPr="00052558">
        <w:rPr>
          <w:bCs/>
        </w:rPr>
        <w:t xml:space="preserve"> pressure against increasing demands on the </w:t>
      </w:r>
      <w:r w:rsidRPr="00052558">
        <w:rPr>
          <w:bCs/>
        </w:rPr>
        <w:t>Deprivation</w:t>
      </w:r>
      <w:r w:rsidR="004034F2" w:rsidRPr="00052558">
        <w:rPr>
          <w:bCs/>
        </w:rPr>
        <w:t xml:space="preserve"> of Liberties (</w:t>
      </w:r>
      <w:proofErr w:type="spellStart"/>
      <w:r w:rsidR="004034F2" w:rsidRPr="00052558">
        <w:rPr>
          <w:bCs/>
        </w:rPr>
        <w:t>DoLs</w:t>
      </w:r>
      <w:proofErr w:type="spellEnd"/>
      <w:r w:rsidR="004034F2" w:rsidRPr="00052558">
        <w:rPr>
          <w:bCs/>
        </w:rPr>
        <w:t>) service</w:t>
      </w:r>
      <w:r w:rsidR="00061DF9" w:rsidRPr="00052558">
        <w:rPr>
          <w:bCs/>
        </w:rPr>
        <w:t>.</w:t>
      </w:r>
    </w:p>
    <w:p w14:paraId="52BDA68C" w14:textId="77777777" w:rsidR="00061DF9" w:rsidRPr="00BB0A57" w:rsidRDefault="00061DF9" w:rsidP="00061DF9">
      <w:pPr>
        <w:ind w:left="1440"/>
        <w:jc w:val="both"/>
        <w:rPr>
          <w:bCs/>
          <w:highlight w:val="yellow"/>
        </w:rPr>
      </w:pPr>
    </w:p>
    <w:p w14:paraId="69195A99" w14:textId="0ACE3A78" w:rsidR="00052558" w:rsidRPr="00BB0A57" w:rsidRDefault="00052558" w:rsidP="000A1EAF">
      <w:pPr>
        <w:pStyle w:val="ListParagraph"/>
        <w:numPr>
          <w:ilvl w:val="1"/>
          <w:numId w:val="64"/>
        </w:numPr>
        <w:spacing w:after="120"/>
        <w:ind w:left="709" w:hanging="709"/>
        <w:jc w:val="both"/>
        <w:rPr>
          <w:bCs/>
        </w:rPr>
      </w:pPr>
      <w:r w:rsidRPr="00BB0A57">
        <w:rPr>
          <w:bCs/>
        </w:rPr>
        <w:t>Pressures of £408k in relation to placement costs for children with disability (within the all age disability pathway have been transferred from children’s services.</w:t>
      </w:r>
    </w:p>
    <w:p w14:paraId="3DE8165E" w14:textId="7F19362C" w:rsidR="004034F2" w:rsidRPr="00C649DF" w:rsidRDefault="004034F2" w:rsidP="000A1EAF">
      <w:pPr>
        <w:pStyle w:val="ListParagraph"/>
        <w:numPr>
          <w:ilvl w:val="1"/>
          <w:numId w:val="64"/>
        </w:numPr>
        <w:spacing w:after="120"/>
        <w:ind w:left="709" w:hanging="709"/>
        <w:jc w:val="both"/>
        <w:rPr>
          <w:bCs/>
        </w:rPr>
      </w:pPr>
      <w:r w:rsidRPr="00C649DF">
        <w:rPr>
          <w:bCs/>
        </w:rPr>
        <w:t xml:space="preserve">Delays </w:t>
      </w:r>
      <w:r w:rsidR="00E653B5" w:rsidRPr="00C649DF">
        <w:rPr>
          <w:bCs/>
        </w:rPr>
        <w:t xml:space="preserve">(including those associated with planning and </w:t>
      </w:r>
      <w:r w:rsidR="00A7379D" w:rsidRPr="00C649DF">
        <w:rPr>
          <w:bCs/>
        </w:rPr>
        <w:t>building</w:t>
      </w:r>
      <w:r w:rsidR="00E653B5" w:rsidRPr="00C649DF">
        <w:rPr>
          <w:bCs/>
        </w:rPr>
        <w:t xml:space="preserve"> related issues) </w:t>
      </w:r>
      <w:r w:rsidRPr="00C649DF">
        <w:rPr>
          <w:bCs/>
        </w:rPr>
        <w:t xml:space="preserve">associated with the achievement of MTFS savings in relation </w:t>
      </w:r>
      <w:r w:rsidRPr="00C649DF">
        <w:rPr>
          <w:bCs/>
        </w:rPr>
        <w:lastRenderedPageBreak/>
        <w:t>to in-house provided services in the region of £</w:t>
      </w:r>
      <w:r w:rsidR="00C649DF" w:rsidRPr="00BB0A57">
        <w:rPr>
          <w:bCs/>
        </w:rPr>
        <w:t>1.123</w:t>
      </w:r>
      <w:r w:rsidRPr="00C649DF">
        <w:rPr>
          <w:bCs/>
        </w:rPr>
        <w:t>m, including £0.</w:t>
      </w:r>
      <w:r w:rsidR="00C649DF" w:rsidRPr="00BB0A57">
        <w:rPr>
          <w:bCs/>
        </w:rPr>
        <w:t>9</w:t>
      </w:r>
      <w:r w:rsidRPr="00C649DF">
        <w:rPr>
          <w:bCs/>
        </w:rPr>
        <w:t xml:space="preserve">m in relation to the </w:t>
      </w:r>
      <w:proofErr w:type="spellStart"/>
      <w:r w:rsidRPr="00C649DF">
        <w:rPr>
          <w:bCs/>
        </w:rPr>
        <w:t>Sancroft</w:t>
      </w:r>
      <w:proofErr w:type="spellEnd"/>
      <w:r w:rsidRPr="00C649DF">
        <w:rPr>
          <w:bCs/>
        </w:rPr>
        <w:t xml:space="preserve"> Phoenix project</w:t>
      </w:r>
      <w:r w:rsidR="005D5AF0">
        <w:rPr>
          <w:bCs/>
        </w:rPr>
        <w:t xml:space="preserve">, </w:t>
      </w:r>
      <w:r w:rsidR="00E653B5" w:rsidRPr="00C649DF">
        <w:rPr>
          <w:bCs/>
        </w:rPr>
        <w:t>increase the pressure to</w:t>
      </w:r>
      <w:r w:rsidRPr="00C649DF">
        <w:rPr>
          <w:bCs/>
        </w:rPr>
        <w:t xml:space="preserve"> be mitigated</w:t>
      </w:r>
      <w:r w:rsidR="00E653B5" w:rsidRPr="00C649DF">
        <w:rPr>
          <w:bCs/>
        </w:rPr>
        <w:t>.</w:t>
      </w:r>
      <w:r w:rsidRPr="00C649DF">
        <w:rPr>
          <w:bCs/>
        </w:rPr>
        <w:t xml:space="preserve">  These pressures are </w:t>
      </w:r>
      <w:r w:rsidR="00E653B5" w:rsidRPr="00C649DF">
        <w:rPr>
          <w:bCs/>
        </w:rPr>
        <w:t>expected to be mitigated.</w:t>
      </w:r>
    </w:p>
    <w:p w14:paraId="6F082560" w14:textId="20FDF3F1" w:rsidR="00562CC6" w:rsidRPr="00BB0A57" w:rsidRDefault="00E653B5" w:rsidP="000A1EAF">
      <w:pPr>
        <w:pStyle w:val="ListParagraph"/>
        <w:numPr>
          <w:ilvl w:val="1"/>
          <w:numId w:val="64"/>
        </w:numPr>
        <w:spacing w:after="120"/>
        <w:ind w:left="709" w:hanging="709"/>
        <w:jc w:val="both"/>
        <w:rPr>
          <w:bCs/>
        </w:rPr>
      </w:pPr>
      <w:r w:rsidRPr="00C649DF">
        <w:rPr>
          <w:bCs/>
        </w:rPr>
        <w:t>The C</w:t>
      </w:r>
      <w:r w:rsidR="00B22CA8">
        <w:rPr>
          <w:bCs/>
        </w:rPr>
        <w:t xml:space="preserve">linical </w:t>
      </w:r>
      <w:r w:rsidRPr="00C649DF">
        <w:rPr>
          <w:bCs/>
        </w:rPr>
        <w:t>C</w:t>
      </w:r>
      <w:r w:rsidR="00B22CA8">
        <w:rPr>
          <w:bCs/>
        </w:rPr>
        <w:t xml:space="preserve">ommission </w:t>
      </w:r>
      <w:r w:rsidRPr="00C649DF">
        <w:rPr>
          <w:bCs/>
        </w:rPr>
        <w:t>G</w:t>
      </w:r>
      <w:r w:rsidR="00B22CA8">
        <w:rPr>
          <w:bCs/>
        </w:rPr>
        <w:t>roup</w:t>
      </w:r>
      <w:r w:rsidRPr="00C649DF">
        <w:rPr>
          <w:bCs/>
        </w:rPr>
        <w:t xml:space="preserve"> </w:t>
      </w:r>
      <w:proofErr w:type="gramStart"/>
      <w:r w:rsidRPr="00C649DF">
        <w:rPr>
          <w:bCs/>
        </w:rPr>
        <w:t>have</w:t>
      </w:r>
      <w:proofErr w:type="gramEnd"/>
      <w:r w:rsidRPr="00C649DF">
        <w:rPr>
          <w:bCs/>
        </w:rPr>
        <w:t xml:space="preserve"> indicated an intention to reduce the funding in relation to the protection of social care (a Better Care Fund condition).  Any reduction to the assumed fun</w:t>
      </w:r>
      <w:r w:rsidR="00A43443" w:rsidRPr="00C649DF">
        <w:rPr>
          <w:bCs/>
        </w:rPr>
        <w:t>ding of £6.558m within the 2017/</w:t>
      </w:r>
      <w:r w:rsidRPr="00C649DF">
        <w:rPr>
          <w:bCs/>
        </w:rPr>
        <w:t xml:space="preserve">18 </w:t>
      </w:r>
      <w:r w:rsidR="00A7379D" w:rsidRPr="00C649DF">
        <w:rPr>
          <w:bCs/>
        </w:rPr>
        <w:t>budgets</w:t>
      </w:r>
      <w:r w:rsidRPr="00C649DF">
        <w:rPr>
          <w:bCs/>
        </w:rPr>
        <w:t xml:space="preserve"> will require mitigation.</w:t>
      </w:r>
    </w:p>
    <w:p w14:paraId="09BEF266" w14:textId="77777777" w:rsidR="00E73627" w:rsidRPr="00ED4141" w:rsidRDefault="00E73627" w:rsidP="00BB0A57">
      <w:pPr>
        <w:pStyle w:val="ListParagraph"/>
        <w:suppressAutoHyphens/>
        <w:ind w:left="405" w:firstLine="304"/>
      </w:pPr>
    </w:p>
    <w:p w14:paraId="349F5032" w14:textId="77777777" w:rsidR="00F37451" w:rsidRPr="00ED4141" w:rsidRDefault="00F37451" w:rsidP="00BB0A57">
      <w:pPr>
        <w:pStyle w:val="ListParagraph"/>
        <w:suppressAutoHyphens/>
        <w:ind w:left="405" w:firstLine="304"/>
      </w:pPr>
      <w:r w:rsidRPr="00ED4141">
        <w:t xml:space="preserve">PUBLIC HEALTH </w:t>
      </w:r>
    </w:p>
    <w:p w14:paraId="043EE170" w14:textId="77777777" w:rsidR="00E07305" w:rsidRPr="00F37451" w:rsidRDefault="00E07305" w:rsidP="00E07305">
      <w:pPr>
        <w:pStyle w:val="ListParagraph"/>
        <w:suppressAutoHyphens/>
        <w:ind w:left="405" w:firstLine="304"/>
        <w:rPr>
          <w:u w:val="single"/>
        </w:rPr>
      </w:pPr>
    </w:p>
    <w:p w14:paraId="54608D4B" w14:textId="25E10D74" w:rsidR="005A6DF0" w:rsidRPr="007C4E79" w:rsidRDefault="00F37451" w:rsidP="00404B4F">
      <w:pPr>
        <w:pStyle w:val="ListParagraph"/>
        <w:numPr>
          <w:ilvl w:val="1"/>
          <w:numId w:val="64"/>
        </w:numPr>
        <w:suppressAutoHyphens/>
        <w:spacing w:after="120"/>
        <w:ind w:left="709" w:hanging="709"/>
        <w:jc w:val="both"/>
        <w:rPr>
          <w:u w:val="single"/>
        </w:rPr>
      </w:pPr>
      <w:r w:rsidRPr="00A7359D">
        <w:t xml:space="preserve">Overall the 2017/18 forecast outturn position for Public </w:t>
      </w:r>
      <w:r w:rsidRPr="007C4E79">
        <w:t xml:space="preserve">Health is a balanced budget. </w:t>
      </w:r>
    </w:p>
    <w:p w14:paraId="00B3B3E9" w14:textId="77777777" w:rsidR="005A6DF0" w:rsidRPr="0021139A" w:rsidRDefault="005A6DF0" w:rsidP="005A6DF0">
      <w:pPr>
        <w:suppressAutoHyphens/>
        <w:ind w:left="284"/>
        <w:rPr>
          <w:u w:val="single"/>
        </w:rPr>
      </w:pPr>
    </w:p>
    <w:p w14:paraId="0397C577" w14:textId="41CD6FAB" w:rsidR="00627173" w:rsidRPr="00015227" w:rsidRDefault="00D30E09" w:rsidP="00404B4F">
      <w:pPr>
        <w:pStyle w:val="ListParagraph"/>
        <w:spacing w:after="120"/>
        <w:ind w:left="709" w:hanging="85"/>
        <w:jc w:val="both"/>
        <w:rPr>
          <w:b/>
          <w:bCs/>
          <w:i/>
        </w:rPr>
      </w:pPr>
      <w:r>
        <w:rPr>
          <w:b/>
          <w:bCs/>
          <w:i/>
        </w:rPr>
        <w:t xml:space="preserve">  </w:t>
      </w:r>
      <w:r w:rsidR="00627173" w:rsidRPr="00015227">
        <w:rPr>
          <w:b/>
          <w:bCs/>
          <w:i/>
        </w:rPr>
        <w:t>SPENDING CONTROL FREEZE</w:t>
      </w:r>
      <w:r w:rsidR="00A7359D">
        <w:rPr>
          <w:b/>
          <w:bCs/>
          <w:i/>
        </w:rPr>
        <w:t xml:space="preserve"> (Adult</w:t>
      </w:r>
      <w:r w:rsidR="009102CE">
        <w:rPr>
          <w:b/>
          <w:bCs/>
          <w:i/>
        </w:rPr>
        <w:t>s</w:t>
      </w:r>
      <w:r w:rsidR="00A7359D">
        <w:rPr>
          <w:b/>
          <w:bCs/>
          <w:i/>
        </w:rPr>
        <w:t xml:space="preserve"> and Public Health)</w:t>
      </w:r>
    </w:p>
    <w:p w14:paraId="6688AF88" w14:textId="2E77019C" w:rsidR="00627173" w:rsidRDefault="00627173" w:rsidP="00404B4F">
      <w:pPr>
        <w:pStyle w:val="ListParagraph"/>
        <w:numPr>
          <w:ilvl w:val="1"/>
          <w:numId w:val="64"/>
        </w:numPr>
        <w:spacing w:after="120"/>
        <w:ind w:left="709" w:hanging="709"/>
        <w:jc w:val="both"/>
        <w:rPr>
          <w:bCs/>
        </w:rPr>
      </w:pPr>
      <w:r w:rsidRPr="00627173">
        <w:rPr>
          <w:bCs/>
        </w:rPr>
        <w:t>The directorate is also reporting a one-</w:t>
      </w:r>
      <w:r w:rsidR="00E74909">
        <w:rPr>
          <w:bCs/>
        </w:rPr>
        <w:t>o</w:t>
      </w:r>
      <w:r w:rsidRPr="00627173">
        <w:rPr>
          <w:bCs/>
        </w:rPr>
        <w:t>ff contribution to the Spending Control Freeze of (£320k). It</w:t>
      </w:r>
      <w:r w:rsidR="00F44178">
        <w:rPr>
          <w:bCs/>
        </w:rPr>
        <w:t xml:space="preserve"> is</w:t>
      </w:r>
      <w:r w:rsidRPr="00627173">
        <w:rPr>
          <w:bCs/>
        </w:rPr>
        <w:t xml:space="preserve"> been proposed that in Adult Service</w:t>
      </w:r>
      <w:r w:rsidR="00E74909">
        <w:rPr>
          <w:bCs/>
        </w:rPr>
        <w:t>s</w:t>
      </w:r>
      <w:r w:rsidRPr="00627173">
        <w:rPr>
          <w:bCs/>
        </w:rPr>
        <w:t xml:space="preserve"> this will be achieved by reducing expenditure across the training budgets (mandatory training will continue to be provided </w:t>
      </w:r>
      <w:r w:rsidR="00E74909">
        <w:rPr>
          <w:bCs/>
        </w:rPr>
        <w:t xml:space="preserve">which is </w:t>
      </w:r>
      <w:r w:rsidRPr="00627173">
        <w:rPr>
          <w:bCs/>
        </w:rPr>
        <w:t xml:space="preserve">consistent with the practice in 2016/17) and within the hospital team. Within Public Health the reduced expenditure reflects the early achievement of the 2017/18 MTFS saving in relation to drug and alcohol services, together with a reduction in committed </w:t>
      </w:r>
      <w:proofErr w:type="gramStart"/>
      <w:r w:rsidRPr="00627173">
        <w:rPr>
          <w:bCs/>
        </w:rPr>
        <w:t>spend</w:t>
      </w:r>
      <w:proofErr w:type="gramEnd"/>
      <w:r w:rsidRPr="00627173">
        <w:rPr>
          <w:bCs/>
        </w:rPr>
        <w:t xml:space="preserve"> for obesity services</w:t>
      </w:r>
      <w:r w:rsidR="00F44178">
        <w:rPr>
          <w:bCs/>
        </w:rPr>
        <w:t>.</w:t>
      </w:r>
    </w:p>
    <w:p w14:paraId="59DAE182" w14:textId="77777777" w:rsidR="006C3281" w:rsidRPr="00ED4141" w:rsidRDefault="006C3281" w:rsidP="002C66C9">
      <w:pPr>
        <w:pStyle w:val="ListParagraph"/>
        <w:ind w:left="624"/>
        <w:rPr>
          <w:bCs/>
        </w:rPr>
      </w:pPr>
    </w:p>
    <w:p w14:paraId="607C8CC6" w14:textId="0AABC186" w:rsidR="004034F2" w:rsidRPr="00ED4141" w:rsidRDefault="00C97D07" w:rsidP="00D30E09">
      <w:pPr>
        <w:ind w:firstLine="851"/>
        <w:jc w:val="both"/>
        <w:rPr>
          <w:bCs/>
        </w:rPr>
      </w:pPr>
      <w:r>
        <w:rPr>
          <w:bCs/>
        </w:rPr>
        <w:t>CHILDREN</w:t>
      </w:r>
      <w:r w:rsidR="00EC6F66">
        <w:rPr>
          <w:bCs/>
        </w:rPr>
        <w:t>’S SERVICES</w:t>
      </w:r>
    </w:p>
    <w:p w14:paraId="1D587D84" w14:textId="482FF3C3" w:rsidR="004034F2" w:rsidRPr="004034F2" w:rsidRDefault="004034F2" w:rsidP="00D30E09">
      <w:pPr>
        <w:ind w:left="284" w:firstLine="851"/>
        <w:rPr>
          <w:bCs/>
        </w:rPr>
      </w:pPr>
      <w:r w:rsidRPr="004034F2">
        <w:rPr>
          <w:bCs/>
        </w:rPr>
        <w:t xml:space="preserve"> </w:t>
      </w:r>
    </w:p>
    <w:p w14:paraId="6EA76019" w14:textId="26859B7C" w:rsidR="004C5118" w:rsidRDefault="004C5118" w:rsidP="00404B4F">
      <w:pPr>
        <w:pStyle w:val="ListParagraph"/>
        <w:numPr>
          <w:ilvl w:val="1"/>
          <w:numId w:val="64"/>
        </w:numPr>
        <w:spacing w:after="120"/>
        <w:ind w:left="709" w:hanging="709"/>
        <w:jc w:val="both"/>
        <w:rPr>
          <w:bCs/>
        </w:rPr>
      </w:pPr>
      <w:r>
        <w:rPr>
          <w:bCs/>
        </w:rPr>
        <w:t>As at Qua</w:t>
      </w:r>
      <w:r w:rsidR="00933D6D">
        <w:rPr>
          <w:bCs/>
        </w:rPr>
        <w:t>rter 1</w:t>
      </w:r>
      <w:r w:rsidRPr="004C5118">
        <w:rPr>
          <w:bCs/>
        </w:rPr>
        <w:t xml:space="preserve"> the headline pressure for the directorate is £4.511m which reduces to a net forecast overspend for the directorate of £3.560m after the use of one off management actions and drawdowns from reserves totalling </w:t>
      </w:r>
      <w:r w:rsidR="00F44178">
        <w:rPr>
          <w:bCs/>
        </w:rPr>
        <w:t>(</w:t>
      </w:r>
      <w:r w:rsidRPr="004C5118">
        <w:rPr>
          <w:bCs/>
        </w:rPr>
        <w:t>£0.951m</w:t>
      </w:r>
      <w:r w:rsidR="00F44178">
        <w:rPr>
          <w:bCs/>
        </w:rPr>
        <w:t>)</w:t>
      </w:r>
      <w:r>
        <w:rPr>
          <w:bCs/>
        </w:rPr>
        <w:t>.</w:t>
      </w:r>
    </w:p>
    <w:p w14:paraId="47538BE6" w14:textId="3E4D9901" w:rsidR="00627173" w:rsidRPr="00696FE7" w:rsidRDefault="00933D6D" w:rsidP="00404B4F">
      <w:pPr>
        <w:pStyle w:val="ListParagraph"/>
        <w:numPr>
          <w:ilvl w:val="1"/>
          <w:numId w:val="64"/>
        </w:numPr>
        <w:spacing w:after="120"/>
        <w:ind w:left="709" w:hanging="709"/>
        <w:jc w:val="both"/>
        <w:rPr>
          <w:rFonts w:cs="Arial"/>
          <w:b/>
          <w:szCs w:val="24"/>
        </w:rPr>
      </w:pPr>
      <w:r w:rsidRPr="00933D6D">
        <w:rPr>
          <w:bCs/>
        </w:rPr>
        <w:t>This represents a reduction in overspend of £0.549m from the position reported at Period 2. The reduction results from additional one off management actions to mitigate the overall overspend</w:t>
      </w:r>
      <w:r w:rsidR="005359A0" w:rsidRPr="00696FE7">
        <w:rPr>
          <w:rFonts w:cs="Arial"/>
          <w:b/>
          <w:szCs w:val="24"/>
        </w:rPr>
        <w:t xml:space="preserve">  </w:t>
      </w:r>
    </w:p>
    <w:p w14:paraId="239D3216" w14:textId="77777777" w:rsidR="00AC0A97" w:rsidRDefault="00627173" w:rsidP="00723439">
      <w:pPr>
        <w:ind w:firstLine="426"/>
        <w:jc w:val="both"/>
        <w:rPr>
          <w:rFonts w:cs="Arial"/>
          <w:b/>
          <w:szCs w:val="24"/>
        </w:rPr>
      </w:pPr>
      <w:r>
        <w:rPr>
          <w:rFonts w:cs="Arial"/>
          <w:b/>
          <w:szCs w:val="24"/>
        </w:rPr>
        <w:t xml:space="preserve">  </w:t>
      </w:r>
      <w:r w:rsidR="005359A0">
        <w:rPr>
          <w:rFonts w:cs="Arial"/>
          <w:b/>
          <w:szCs w:val="24"/>
        </w:rPr>
        <w:t xml:space="preserve"> </w:t>
      </w:r>
    </w:p>
    <w:p w14:paraId="0A419754" w14:textId="60972BDD" w:rsidR="00A66B94" w:rsidRPr="00404B4F" w:rsidRDefault="005359A0" w:rsidP="00404B4F">
      <w:pPr>
        <w:ind w:firstLine="720"/>
        <w:jc w:val="both"/>
        <w:rPr>
          <w:rFonts w:cs="Arial"/>
          <w:b/>
          <w:szCs w:val="24"/>
          <w:u w:val="single"/>
        </w:rPr>
      </w:pPr>
      <w:r>
        <w:rPr>
          <w:rFonts w:cs="Arial"/>
          <w:b/>
          <w:szCs w:val="24"/>
        </w:rPr>
        <w:t xml:space="preserve"> </w:t>
      </w:r>
      <w:r w:rsidR="00A66B94" w:rsidRPr="00404B4F">
        <w:rPr>
          <w:rFonts w:cs="Arial"/>
          <w:b/>
          <w:szCs w:val="24"/>
          <w:u w:val="single"/>
        </w:rPr>
        <w:t xml:space="preserve">Table </w:t>
      </w:r>
      <w:r w:rsidR="00BC12ED" w:rsidRPr="00404B4F">
        <w:rPr>
          <w:rFonts w:cs="Arial"/>
          <w:b/>
          <w:szCs w:val="24"/>
          <w:u w:val="single"/>
        </w:rPr>
        <w:t>4</w:t>
      </w:r>
      <w:r w:rsidR="00A66B94" w:rsidRPr="00404B4F">
        <w:rPr>
          <w:rFonts w:cs="Arial"/>
          <w:b/>
          <w:szCs w:val="24"/>
          <w:u w:val="single"/>
        </w:rPr>
        <w:t>: Children’s variance</w:t>
      </w:r>
    </w:p>
    <w:p w14:paraId="0DC224BF" w14:textId="79C83267" w:rsidR="00C649DF" w:rsidRDefault="00C649DF" w:rsidP="00723439">
      <w:pPr>
        <w:ind w:firstLine="426"/>
        <w:jc w:val="both"/>
        <w:rPr>
          <w:rFonts w:cs="Arial"/>
          <w:b/>
          <w:szCs w:val="24"/>
        </w:rPr>
      </w:pPr>
      <w:r>
        <w:rPr>
          <w:rFonts w:cs="Arial"/>
          <w:b/>
          <w:szCs w:val="24"/>
        </w:rPr>
        <w:tab/>
      </w:r>
      <w:r w:rsidR="00F44178" w:rsidRPr="00F44178">
        <w:rPr>
          <w:noProof/>
          <w:lang w:eastAsia="en-GB"/>
        </w:rPr>
        <w:drawing>
          <wp:inline distT="0" distB="0" distL="0" distR="0" wp14:anchorId="0D5485D3" wp14:editId="2343C423">
            <wp:extent cx="3284220" cy="1249045"/>
            <wp:effectExtent l="0" t="0" r="0" b="825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284220" cy="1249045"/>
                    </a:xfrm>
                    <a:prstGeom prst="rect">
                      <a:avLst/>
                    </a:prstGeom>
                    <a:noFill/>
                    <a:ln>
                      <a:noFill/>
                    </a:ln>
                  </pic:spPr>
                </pic:pic>
              </a:graphicData>
            </a:graphic>
          </wp:inline>
        </w:drawing>
      </w:r>
    </w:p>
    <w:p w14:paraId="17764F04" w14:textId="77777777" w:rsidR="00A66B94" w:rsidRDefault="00A66B94" w:rsidP="00A66B94">
      <w:pPr>
        <w:jc w:val="both"/>
        <w:rPr>
          <w:rFonts w:cs="Arial"/>
          <w:b/>
          <w:szCs w:val="24"/>
        </w:rPr>
      </w:pPr>
    </w:p>
    <w:p w14:paraId="49BEFA45" w14:textId="77777777" w:rsidR="00323377" w:rsidRDefault="00A43443" w:rsidP="00404B4F">
      <w:pPr>
        <w:pStyle w:val="ListParagraph"/>
        <w:numPr>
          <w:ilvl w:val="1"/>
          <w:numId w:val="64"/>
        </w:numPr>
        <w:spacing w:after="120"/>
        <w:ind w:left="709" w:hanging="709"/>
        <w:jc w:val="both"/>
        <w:rPr>
          <w:bCs/>
        </w:rPr>
      </w:pPr>
      <w:r>
        <w:rPr>
          <w:bCs/>
        </w:rPr>
        <w:t>In 2017/</w:t>
      </w:r>
      <w:r w:rsidR="00A7379D" w:rsidRPr="00A7379D">
        <w:rPr>
          <w:bCs/>
        </w:rPr>
        <w:t xml:space="preserve">18 £2.9m of growth was included in the budget to support increased demand in children’s services. Of this, £1m was for SEN Transport which is anticipated to be within budget this financial year. The remaining £1.9m was for social care staffing and children’s placements &amp; accommodation. However, since the budget was set in </w:t>
      </w:r>
      <w:r w:rsidR="00A7379D" w:rsidRPr="00A7379D">
        <w:rPr>
          <w:bCs/>
        </w:rPr>
        <w:lastRenderedPageBreak/>
        <w:t>February, there has been a further increase in demand, in particular, for more costly children’s placements and accommodation</w:t>
      </w:r>
      <w:r w:rsidR="00A7379D">
        <w:rPr>
          <w:bCs/>
        </w:rPr>
        <w:t>.</w:t>
      </w:r>
      <w:r w:rsidR="00A66B94">
        <w:rPr>
          <w:bCs/>
        </w:rPr>
        <w:t xml:space="preserve"> </w:t>
      </w:r>
    </w:p>
    <w:p w14:paraId="30A4E8F8" w14:textId="05729072" w:rsidR="00A7379D" w:rsidRDefault="00B60E46" w:rsidP="00A90476">
      <w:pPr>
        <w:pStyle w:val="ListParagraph"/>
        <w:numPr>
          <w:ilvl w:val="1"/>
          <w:numId w:val="64"/>
        </w:numPr>
        <w:spacing w:after="120"/>
        <w:ind w:left="709" w:hanging="709"/>
        <w:jc w:val="both"/>
        <w:rPr>
          <w:bCs/>
        </w:rPr>
      </w:pPr>
      <w:r>
        <w:rPr>
          <w:bCs/>
        </w:rPr>
        <w:t xml:space="preserve">The </w:t>
      </w:r>
      <w:r w:rsidR="00323377">
        <w:rPr>
          <w:bCs/>
        </w:rPr>
        <w:t xml:space="preserve">headline </w:t>
      </w:r>
      <w:r>
        <w:rPr>
          <w:bCs/>
        </w:rPr>
        <w:t xml:space="preserve">pressures </w:t>
      </w:r>
      <w:r w:rsidR="00323377">
        <w:rPr>
          <w:bCs/>
        </w:rPr>
        <w:t xml:space="preserve"> of £</w:t>
      </w:r>
      <w:r w:rsidR="005A6DF0">
        <w:rPr>
          <w:bCs/>
        </w:rPr>
        <w:t>4.511m are as follows</w:t>
      </w:r>
      <w:r>
        <w:rPr>
          <w:bCs/>
        </w:rPr>
        <w:t>:</w:t>
      </w:r>
    </w:p>
    <w:p w14:paraId="506FC4BE" w14:textId="171C1931" w:rsidR="000F6E2C" w:rsidRDefault="000F6E2C" w:rsidP="00A90476">
      <w:pPr>
        <w:pStyle w:val="ListParagraph"/>
        <w:numPr>
          <w:ilvl w:val="1"/>
          <w:numId w:val="64"/>
        </w:numPr>
        <w:spacing w:after="120"/>
        <w:ind w:left="709" w:hanging="709"/>
        <w:jc w:val="both"/>
        <w:rPr>
          <w:bCs/>
        </w:rPr>
      </w:pPr>
      <w:r w:rsidRPr="000F6E2C">
        <w:rPr>
          <w:b/>
        </w:rPr>
        <w:t>Children’s Placements and Accommodation £3.260m overspend</w:t>
      </w:r>
      <w:r>
        <w:t xml:space="preserve"> -</w:t>
      </w:r>
      <w:r w:rsidRPr="00933D6D">
        <w:rPr>
          <w:bCs/>
        </w:rPr>
        <w:t xml:space="preserve">There is an overall reduction of £62k from </w:t>
      </w:r>
      <w:proofErr w:type="gramStart"/>
      <w:r w:rsidRPr="00933D6D">
        <w:rPr>
          <w:bCs/>
        </w:rPr>
        <w:t>the overspend</w:t>
      </w:r>
      <w:proofErr w:type="gramEnd"/>
      <w:r w:rsidRPr="00933D6D">
        <w:rPr>
          <w:bCs/>
        </w:rPr>
        <w:t xml:space="preserve"> reported at Period 2. As part of the service’s planned actions 4 young person’s placements packages have been reduced, resulting in a reduction in weekly costs. This totals approximately £209k in 2017/18. However 5 new young people were accommodated in in house and external </w:t>
      </w:r>
      <w:proofErr w:type="gramStart"/>
      <w:r w:rsidRPr="00933D6D">
        <w:rPr>
          <w:bCs/>
        </w:rPr>
        <w:t>fostering placements which has</w:t>
      </w:r>
      <w:proofErr w:type="gramEnd"/>
      <w:r w:rsidRPr="00933D6D">
        <w:rPr>
          <w:bCs/>
        </w:rPr>
        <w:t xml:space="preserve"> partially offset the reduction in costs</w:t>
      </w:r>
      <w:r>
        <w:rPr>
          <w:bCs/>
        </w:rPr>
        <w:t>.</w:t>
      </w:r>
    </w:p>
    <w:p w14:paraId="2435738E" w14:textId="787A1373" w:rsidR="000F6E2C" w:rsidRDefault="000F6E2C" w:rsidP="00A90476">
      <w:pPr>
        <w:pStyle w:val="ListParagraph"/>
        <w:numPr>
          <w:ilvl w:val="1"/>
          <w:numId w:val="64"/>
        </w:numPr>
        <w:spacing w:after="120"/>
        <w:ind w:left="709" w:hanging="709"/>
        <w:jc w:val="both"/>
        <w:rPr>
          <w:bCs/>
        </w:rPr>
      </w:pPr>
      <w:r w:rsidRPr="00A7359D">
        <w:rPr>
          <w:iCs/>
        </w:rPr>
        <w:t>In order to mitiga</w:t>
      </w:r>
      <w:r w:rsidRPr="00385924">
        <w:rPr>
          <w:iCs/>
        </w:rPr>
        <w:t xml:space="preserve">te and monitor </w:t>
      </w:r>
      <w:proofErr w:type="gramStart"/>
      <w:r w:rsidRPr="00385924">
        <w:rPr>
          <w:iCs/>
        </w:rPr>
        <w:t>the spend</w:t>
      </w:r>
      <w:proofErr w:type="gramEnd"/>
      <w:r w:rsidRPr="00385924">
        <w:rPr>
          <w:iCs/>
        </w:rPr>
        <w:t xml:space="preserve"> on children’s placements a </w:t>
      </w:r>
      <w:r>
        <w:rPr>
          <w:iCs/>
        </w:rPr>
        <w:t xml:space="preserve">schedule </w:t>
      </w:r>
      <w:r w:rsidRPr="00385924">
        <w:rPr>
          <w:iCs/>
        </w:rPr>
        <w:t>of panels has been drawn up to scrutinize and reduce costs. These panels, chaired by the Divisional Director, include</w:t>
      </w:r>
      <w:r>
        <w:rPr>
          <w:iCs/>
        </w:rPr>
        <w:t>;</w:t>
      </w:r>
    </w:p>
    <w:p w14:paraId="70D622FE" w14:textId="5924199D" w:rsidR="00144C1D" w:rsidRPr="00DA6F37" w:rsidRDefault="000F6E2C" w:rsidP="00DA6F37">
      <w:pPr>
        <w:jc w:val="both"/>
        <w:rPr>
          <w:iCs/>
        </w:rPr>
      </w:pPr>
      <w:r>
        <w:rPr>
          <w:bCs/>
        </w:rPr>
        <w:t>.</w:t>
      </w:r>
    </w:p>
    <w:p w14:paraId="35309DA2" w14:textId="77777777" w:rsidR="00144C1D" w:rsidRDefault="00144C1D" w:rsidP="00404B4F">
      <w:pPr>
        <w:numPr>
          <w:ilvl w:val="0"/>
          <w:numId w:val="46"/>
        </w:numPr>
        <w:suppressAutoHyphens/>
        <w:ind w:left="851" w:hanging="284"/>
        <w:jc w:val="both"/>
      </w:pPr>
      <w:r>
        <w:t>Weekly Access to Resources Panel – no new spends are permitted without exploring alternatives.</w:t>
      </w:r>
    </w:p>
    <w:p w14:paraId="251C152A" w14:textId="77777777" w:rsidR="00144C1D" w:rsidRDefault="00144C1D" w:rsidP="00D30E09">
      <w:pPr>
        <w:ind w:left="851" w:hanging="491"/>
        <w:jc w:val="both"/>
      </w:pPr>
    </w:p>
    <w:p w14:paraId="4164A068" w14:textId="77777777" w:rsidR="00144C1D" w:rsidRDefault="00144C1D" w:rsidP="00404B4F">
      <w:pPr>
        <w:numPr>
          <w:ilvl w:val="0"/>
          <w:numId w:val="46"/>
        </w:numPr>
        <w:suppressAutoHyphens/>
        <w:ind w:left="851" w:hanging="284"/>
        <w:jc w:val="both"/>
      </w:pPr>
      <w:r>
        <w:t>A monthly themed panel focussing on high cost areas such as semi-independent and leaving care costs.</w:t>
      </w:r>
    </w:p>
    <w:p w14:paraId="4C6A9FCE" w14:textId="77777777" w:rsidR="00144C1D" w:rsidRDefault="00144C1D" w:rsidP="00D30E09">
      <w:pPr>
        <w:pStyle w:val="ListParagraph"/>
        <w:ind w:left="851" w:hanging="491"/>
        <w:jc w:val="both"/>
      </w:pPr>
    </w:p>
    <w:p w14:paraId="31817C80" w14:textId="77777777" w:rsidR="00144C1D" w:rsidRDefault="00144C1D" w:rsidP="00404B4F">
      <w:pPr>
        <w:numPr>
          <w:ilvl w:val="0"/>
          <w:numId w:val="46"/>
        </w:numPr>
        <w:suppressAutoHyphens/>
        <w:ind w:left="851" w:hanging="284"/>
        <w:jc w:val="both"/>
      </w:pPr>
      <w:r>
        <w:t>A monthly tracking panel to ensure that placements are ended in a timely manner.</w:t>
      </w:r>
    </w:p>
    <w:p w14:paraId="4F920C19" w14:textId="77777777" w:rsidR="00144C1D" w:rsidRDefault="00144C1D" w:rsidP="00D30E09">
      <w:pPr>
        <w:pStyle w:val="ListParagraph"/>
        <w:ind w:left="851" w:hanging="491"/>
        <w:jc w:val="both"/>
      </w:pPr>
    </w:p>
    <w:p w14:paraId="64F05EF2" w14:textId="3817B56A" w:rsidR="00ED4141" w:rsidRDefault="00144C1D" w:rsidP="00404B4F">
      <w:pPr>
        <w:numPr>
          <w:ilvl w:val="0"/>
          <w:numId w:val="46"/>
        </w:numPr>
        <w:suppressAutoHyphens/>
        <w:ind w:left="851" w:hanging="284"/>
        <w:jc w:val="both"/>
      </w:pPr>
      <w:r>
        <w:t xml:space="preserve">Revised Tri-Partite Panel to ensure that health contributions are </w:t>
      </w:r>
      <w:r w:rsidR="00ED4141">
        <w:t>maximised.</w:t>
      </w:r>
    </w:p>
    <w:p w14:paraId="4547ADDF" w14:textId="3A9EF523" w:rsidR="007C4E79" w:rsidRDefault="007C4E79" w:rsidP="00ED4141">
      <w:pPr>
        <w:suppressAutoHyphens/>
        <w:ind w:left="360"/>
      </w:pPr>
    </w:p>
    <w:p w14:paraId="5B80C1BA" w14:textId="424A0120" w:rsidR="00A7379D" w:rsidRDefault="00A7379D" w:rsidP="00404B4F">
      <w:pPr>
        <w:pStyle w:val="ListParagraph"/>
        <w:numPr>
          <w:ilvl w:val="1"/>
          <w:numId w:val="64"/>
        </w:numPr>
        <w:spacing w:after="120"/>
        <w:ind w:left="709" w:hanging="709"/>
        <w:jc w:val="both"/>
        <w:rPr>
          <w:bCs/>
        </w:rPr>
      </w:pPr>
      <w:r w:rsidRPr="00E276E1">
        <w:rPr>
          <w:b/>
          <w:bCs/>
        </w:rPr>
        <w:t>Children and Young People’s Service Frontline Teams £0.5</w:t>
      </w:r>
      <w:r w:rsidR="00144C1D" w:rsidRPr="00E276E1">
        <w:rPr>
          <w:b/>
          <w:bCs/>
        </w:rPr>
        <w:t>60</w:t>
      </w:r>
      <w:r w:rsidRPr="00E276E1">
        <w:rPr>
          <w:b/>
          <w:bCs/>
        </w:rPr>
        <w:t>m overspend</w:t>
      </w:r>
      <w:r w:rsidRPr="00E276E1">
        <w:rPr>
          <w:bCs/>
        </w:rPr>
        <w:t xml:space="preserve"> - The majority of </w:t>
      </w:r>
      <w:proofErr w:type="gramStart"/>
      <w:r w:rsidRPr="00E276E1">
        <w:rPr>
          <w:bCs/>
        </w:rPr>
        <w:t>the overspend</w:t>
      </w:r>
      <w:proofErr w:type="gramEnd"/>
      <w:r w:rsidRPr="00E276E1">
        <w:rPr>
          <w:bCs/>
        </w:rPr>
        <w:t xml:space="preserve"> relates to staffing and a breakdown of variances is shown in Table </w:t>
      </w:r>
      <w:r w:rsidR="00A23F65" w:rsidRPr="00E276E1">
        <w:rPr>
          <w:bCs/>
        </w:rPr>
        <w:t>5</w:t>
      </w:r>
      <w:r w:rsidRPr="00E276E1">
        <w:rPr>
          <w:bCs/>
        </w:rPr>
        <w:t xml:space="preserve"> below. The main pressure is as a result of agency staff covering vacant posts, sickness and maternity as well as a super numerate team manager and ‘as and when’ required staff carrying out supervised contact. In addition to this there is a one off cost for overseas social worker recruitment estimated at £50k and anticipated pressures of £150k relating to IT &amp; mobile phone equipment and other non-staffing costs particularly driven by the recent growth in social care staff numbers.</w:t>
      </w:r>
    </w:p>
    <w:p w14:paraId="6E099167" w14:textId="3157281B" w:rsidR="00E276E1" w:rsidRDefault="00E276E1" w:rsidP="00404B4F">
      <w:pPr>
        <w:pStyle w:val="ListParagraph"/>
        <w:numPr>
          <w:ilvl w:val="1"/>
          <w:numId w:val="64"/>
        </w:numPr>
        <w:spacing w:after="120"/>
        <w:ind w:left="709" w:hanging="709"/>
        <w:jc w:val="both"/>
        <w:rPr>
          <w:bCs/>
        </w:rPr>
      </w:pPr>
      <w:r w:rsidRPr="00A7379D">
        <w:rPr>
          <w:bCs/>
        </w:rPr>
        <w:t>Agency costs will be reduced during the course of the year with the arrival of social workers from India, and the permanent recruitment of social workers who complete the front-line and step-up programmes</w:t>
      </w:r>
      <w:r>
        <w:rPr>
          <w:bCs/>
        </w:rPr>
        <w:t>.</w:t>
      </w:r>
    </w:p>
    <w:p w14:paraId="30398BF2" w14:textId="0DE7F1C4" w:rsidR="00AC0A97" w:rsidRPr="00E276E1" w:rsidRDefault="00E276E1" w:rsidP="00404B4F">
      <w:pPr>
        <w:pStyle w:val="ListParagraph"/>
        <w:numPr>
          <w:ilvl w:val="1"/>
          <w:numId w:val="64"/>
        </w:numPr>
        <w:spacing w:after="120"/>
        <w:ind w:left="709" w:hanging="709"/>
        <w:jc w:val="both"/>
        <w:rPr>
          <w:bCs/>
        </w:rPr>
      </w:pPr>
      <w:r w:rsidRPr="00144C1D">
        <w:rPr>
          <w:bCs/>
        </w:rPr>
        <w:t>The reported overspend in the Front Door Team has reduced by £30k since Period 2 mainly resulting from a reduction in cost pressures relating to agency staff. This reduction is an indication that planned management actions are now delivering real cost reductions</w:t>
      </w:r>
      <w:r w:rsidR="006D7595">
        <w:rPr>
          <w:bCs/>
        </w:rPr>
        <w:t>.</w:t>
      </w:r>
    </w:p>
    <w:p w14:paraId="19B03E7F" w14:textId="77777777" w:rsidR="000A1EAF" w:rsidRDefault="000A1EAF" w:rsidP="00404B4F">
      <w:pPr>
        <w:spacing w:after="120"/>
        <w:ind w:left="851"/>
        <w:jc w:val="both"/>
        <w:rPr>
          <w:rFonts w:cstheme="minorBidi"/>
        </w:rPr>
      </w:pPr>
    </w:p>
    <w:p w14:paraId="195A3B2C" w14:textId="77777777" w:rsidR="000A1EAF" w:rsidRDefault="000A1EAF" w:rsidP="00404B4F">
      <w:pPr>
        <w:spacing w:after="120"/>
        <w:ind w:left="851"/>
        <w:jc w:val="both"/>
        <w:rPr>
          <w:rFonts w:cstheme="minorBidi"/>
        </w:rPr>
      </w:pPr>
    </w:p>
    <w:p w14:paraId="359CC0D4" w14:textId="77777777" w:rsidR="000A1EAF" w:rsidRDefault="000A1EAF" w:rsidP="00404B4F">
      <w:pPr>
        <w:spacing w:after="120"/>
        <w:ind w:left="851"/>
        <w:jc w:val="both"/>
        <w:rPr>
          <w:rFonts w:cstheme="minorBidi"/>
        </w:rPr>
      </w:pPr>
    </w:p>
    <w:p w14:paraId="599E678C" w14:textId="77777777" w:rsidR="000A1EAF" w:rsidRDefault="000A1EAF" w:rsidP="00404B4F">
      <w:pPr>
        <w:spacing w:after="120"/>
        <w:ind w:left="851"/>
        <w:jc w:val="both"/>
        <w:rPr>
          <w:rFonts w:cstheme="minorBidi"/>
        </w:rPr>
      </w:pPr>
    </w:p>
    <w:p w14:paraId="2CF73A3B" w14:textId="77777777" w:rsidR="000A1EAF" w:rsidRPr="00404B4F" w:rsidRDefault="000A1EAF" w:rsidP="00404B4F">
      <w:pPr>
        <w:spacing w:after="120"/>
        <w:ind w:left="851"/>
        <w:jc w:val="both"/>
        <w:rPr>
          <w:rFonts w:cstheme="minorBidi"/>
        </w:rPr>
      </w:pPr>
    </w:p>
    <w:p w14:paraId="78BA5DB9" w14:textId="326082A3" w:rsidR="00BF1F99" w:rsidRDefault="00BF1F99" w:rsidP="00404B4F">
      <w:pPr>
        <w:rPr>
          <w:b/>
        </w:rPr>
      </w:pPr>
      <w:r w:rsidRPr="00CF710E">
        <w:rPr>
          <w:b/>
        </w:rPr>
        <w:lastRenderedPageBreak/>
        <w:t xml:space="preserve">Table </w:t>
      </w:r>
      <w:r w:rsidR="00A23F65">
        <w:rPr>
          <w:b/>
        </w:rPr>
        <w:t>5</w:t>
      </w:r>
      <w:r w:rsidR="00AC0A97">
        <w:rPr>
          <w:b/>
        </w:rPr>
        <w:t>:</w:t>
      </w:r>
      <w:r w:rsidRPr="00CF710E">
        <w:rPr>
          <w:b/>
        </w:rPr>
        <w:t xml:space="preserve"> CYP staffing variances to budget</w:t>
      </w:r>
    </w:p>
    <w:tbl>
      <w:tblPr>
        <w:tblW w:w="921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4"/>
        <w:gridCol w:w="806"/>
        <w:gridCol w:w="939"/>
        <w:gridCol w:w="1476"/>
        <w:gridCol w:w="939"/>
        <w:gridCol w:w="1208"/>
        <w:gridCol w:w="1072"/>
        <w:gridCol w:w="850"/>
        <w:gridCol w:w="851"/>
      </w:tblGrid>
      <w:tr w:rsidR="00EC7194" w:rsidRPr="00F40463" w14:paraId="2F4F8458" w14:textId="77777777" w:rsidTr="00404B4F">
        <w:trPr>
          <w:trHeight w:val="509"/>
        </w:trPr>
        <w:tc>
          <w:tcPr>
            <w:tcW w:w="1880" w:type="dxa"/>
            <w:gridSpan w:val="2"/>
            <w:shd w:val="clear" w:color="auto" w:fill="auto"/>
          </w:tcPr>
          <w:p w14:paraId="2C34132D" w14:textId="092AECD5" w:rsidR="00F40463" w:rsidRPr="00F40463" w:rsidRDefault="00F40463" w:rsidP="00EC7194">
            <w:pPr>
              <w:rPr>
                <w:rFonts w:cs="Arial"/>
                <w:b/>
                <w:szCs w:val="24"/>
              </w:rPr>
            </w:pPr>
            <w:r w:rsidRPr="00F40463">
              <w:rPr>
                <w:rFonts w:cs="Arial"/>
                <w:b/>
                <w:szCs w:val="24"/>
              </w:rPr>
              <w:t>Description</w:t>
            </w:r>
          </w:p>
        </w:tc>
        <w:tc>
          <w:tcPr>
            <w:tcW w:w="939" w:type="dxa"/>
            <w:shd w:val="clear" w:color="auto" w:fill="auto"/>
          </w:tcPr>
          <w:p w14:paraId="64D07A50" w14:textId="77777777" w:rsidR="00F40463" w:rsidRPr="00F40463" w:rsidRDefault="00F40463" w:rsidP="00F40463">
            <w:pPr>
              <w:jc w:val="center"/>
              <w:rPr>
                <w:rFonts w:cs="Arial"/>
                <w:b/>
                <w:szCs w:val="24"/>
              </w:rPr>
            </w:pPr>
            <w:r w:rsidRPr="00F40463">
              <w:rPr>
                <w:rFonts w:cs="Arial"/>
                <w:b/>
                <w:szCs w:val="24"/>
              </w:rPr>
              <w:t>Front Door</w:t>
            </w:r>
          </w:p>
        </w:tc>
        <w:tc>
          <w:tcPr>
            <w:tcW w:w="1476" w:type="dxa"/>
            <w:shd w:val="clear" w:color="auto" w:fill="auto"/>
          </w:tcPr>
          <w:p w14:paraId="2CF14E84" w14:textId="77777777" w:rsidR="00F40463" w:rsidRPr="00F40463" w:rsidRDefault="00F40463" w:rsidP="00F40463">
            <w:pPr>
              <w:jc w:val="center"/>
              <w:rPr>
                <w:rFonts w:cs="Arial"/>
                <w:b/>
                <w:szCs w:val="24"/>
              </w:rPr>
            </w:pPr>
            <w:r w:rsidRPr="00F40463">
              <w:rPr>
                <w:rFonts w:cs="Arial"/>
                <w:b/>
                <w:szCs w:val="24"/>
              </w:rPr>
              <w:t>Quality Assurance</w:t>
            </w:r>
          </w:p>
        </w:tc>
        <w:tc>
          <w:tcPr>
            <w:tcW w:w="939" w:type="dxa"/>
            <w:shd w:val="clear" w:color="auto" w:fill="auto"/>
          </w:tcPr>
          <w:p w14:paraId="405DF6AB" w14:textId="77777777" w:rsidR="00F40463" w:rsidRPr="00F40463" w:rsidRDefault="00F40463" w:rsidP="00F40463">
            <w:pPr>
              <w:jc w:val="center"/>
              <w:rPr>
                <w:rFonts w:cs="Arial"/>
                <w:b/>
                <w:szCs w:val="24"/>
              </w:rPr>
            </w:pPr>
            <w:r w:rsidRPr="00F40463">
              <w:rPr>
                <w:rFonts w:cs="Arial"/>
                <w:b/>
                <w:szCs w:val="24"/>
              </w:rPr>
              <w:t xml:space="preserve">CYP </w:t>
            </w:r>
            <w:proofErr w:type="spellStart"/>
            <w:r w:rsidRPr="00F40463">
              <w:rPr>
                <w:rFonts w:cs="Arial"/>
                <w:b/>
                <w:szCs w:val="24"/>
              </w:rPr>
              <w:t>Mgt</w:t>
            </w:r>
            <w:proofErr w:type="spellEnd"/>
          </w:p>
        </w:tc>
        <w:tc>
          <w:tcPr>
            <w:tcW w:w="1208" w:type="dxa"/>
            <w:shd w:val="clear" w:color="auto" w:fill="auto"/>
          </w:tcPr>
          <w:p w14:paraId="6FCCDA5B" w14:textId="77777777" w:rsidR="00F40463" w:rsidRPr="00F40463" w:rsidRDefault="00F40463" w:rsidP="00F40463">
            <w:pPr>
              <w:jc w:val="center"/>
              <w:rPr>
                <w:rFonts w:cs="Arial"/>
                <w:b/>
                <w:szCs w:val="24"/>
              </w:rPr>
            </w:pPr>
            <w:r w:rsidRPr="00F40463">
              <w:rPr>
                <w:rFonts w:cs="Arial"/>
                <w:b/>
                <w:szCs w:val="24"/>
              </w:rPr>
              <w:t>Children in Need</w:t>
            </w:r>
          </w:p>
        </w:tc>
        <w:tc>
          <w:tcPr>
            <w:tcW w:w="1072" w:type="dxa"/>
            <w:shd w:val="clear" w:color="auto" w:fill="auto"/>
          </w:tcPr>
          <w:p w14:paraId="20E1C5E7" w14:textId="77777777" w:rsidR="00F40463" w:rsidRPr="00F40463" w:rsidRDefault="00F40463" w:rsidP="00F40463">
            <w:pPr>
              <w:jc w:val="center"/>
              <w:rPr>
                <w:rFonts w:cs="Arial"/>
                <w:b/>
                <w:szCs w:val="24"/>
              </w:rPr>
            </w:pPr>
            <w:r w:rsidRPr="00F40463">
              <w:rPr>
                <w:rFonts w:cs="Arial"/>
                <w:b/>
                <w:szCs w:val="24"/>
              </w:rPr>
              <w:t>Corp Parent</w:t>
            </w:r>
          </w:p>
        </w:tc>
        <w:tc>
          <w:tcPr>
            <w:tcW w:w="850" w:type="dxa"/>
          </w:tcPr>
          <w:p w14:paraId="1071F787" w14:textId="77777777" w:rsidR="00F40463" w:rsidRPr="00F40463" w:rsidRDefault="00F40463" w:rsidP="00F40463">
            <w:pPr>
              <w:jc w:val="center"/>
              <w:rPr>
                <w:rFonts w:cs="Arial"/>
                <w:b/>
                <w:szCs w:val="24"/>
              </w:rPr>
            </w:pPr>
            <w:r w:rsidRPr="00F40463">
              <w:rPr>
                <w:rFonts w:cs="Arial"/>
                <w:b/>
                <w:szCs w:val="24"/>
              </w:rPr>
              <w:t>YOT</w:t>
            </w:r>
          </w:p>
        </w:tc>
        <w:tc>
          <w:tcPr>
            <w:tcW w:w="851" w:type="dxa"/>
            <w:shd w:val="clear" w:color="auto" w:fill="auto"/>
          </w:tcPr>
          <w:p w14:paraId="7F31A9E4" w14:textId="77777777" w:rsidR="00F40463" w:rsidRPr="00F40463" w:rsidRDefault="00F40463" w:rsidP="00F40463">
            <w:pPr>
              <w:jc w:val="center"/>
              <w:rPr>
                <w:rFonts w:cs="Arial"/>
                <w:b/>
                <w:szCs w:val="24"/>
              </w:rPr>
            </w:pPr>
            <w:r w:rsidRPr="00F40463">
              <w:rPr>
                <w:rFonts w:cs="Arial"/>
                <w:b/>
                <w:szCs w:val="24"/>
              </w:rPr>
              <w:t>Total</w:t>
            </w:r>
          </w:p>
        </w:tc>
      </w:tr>
      <w:tr w:rsidR="00EC7194" w:rsidRPr="00F40463" w14:paraId="189F4740" w14:textId="77777777" w:rsidTr="00404B4F">
        <w:trPr>
          <w:trHeight w:val="258"/>
        </w:trPr>
        <w:tc>
          <w:tcPr>
            <w:tcW w:w="1880" w:type="dxa"/>
            <w:gridSpan w:val="2"/>
            <w:shd w:val="clear" w:color="auto" w:fill="auto"/>
          </w:tcPr>
          <w:p w14:paraId="1894E8D5" w14:textId="77777777" w:rsidR="00F40463" w:rsidRPr="00F40463" w:rsidRDefault="00F40463" w:rsidP="00F40463">
            <w:pPr>
              <w:jc w:val="center"/>
              <w:rPr>
                <w:rFonts w:cs="Arial"/>
                <w:szCs w:val="24"/>
              </w:rPr>
            </w:pPr>
          </w:p>
        </w:tc>
        <w:tc>
          <w:tcPr>
            <w:tcW w:w="939" w:type="dxa"/>
            <w:shd w:val="clear" w:color="auto" w:fill="auto"/>
          </w:tcPr>
          <w:p w14:paraId="23B4E416" w14:textId="77777777" w:rsidR="00F40463" w:rsidRPr="00F40463" w:rsidRDefault="00F40463" w:rsidP="00F40463">
            <w:pPr>
              <w:jc w:val="center"/>
              <w:rPr>
                <w:rFonts w:cs="Arial"/>
                <w:szCs w:val="24"/>
              </w:rPr>
            </w:pPr>
            <w:r w:rsidRPr="00F40463">
              <w:rPr>
                <w:rFonts w:cs="Arial"/>
                <w:szCs w:val="24"/>
              </w:rPr>
              <w:t>£'000</w:t>
            </w:r>
          </w:p>
        </w:tc>
        <w:tc>
          <w:tcPr>
            <w:tcW w:w="1476" w:type="dxa"/>
            <w:shd w:val="clear" w:color="auto" w:fill="auto"/>
          </w:tcPr>
          <w:p w14:paraId="6D9ED603" w14:textId="77777777" w:rsidR="00F40463" w:rsidRPr="00F40463" w:rsidRDefault="00F40463" w:rsidP="00F40463">
            <w:pPr>
              <w:jc w:val="center"/>
              <w:rPr>
                <w:rFonts w:cs="Arial"/>
                <w:szCs w:val="24"/>
              </w:rPr>
            </w:pPr>
            <w:r w:rsidRPr="00F40463">
              <w:rPr>
                <w:rFonts w:cs="Arial"/>
                <w:szCs w:val="24"/>
              </w:rPr>
              <w:t>£'000</w:t>
            </w:r>
          </w:p>
        </w:tc>
        <w:tc>
          <w:tcPr>
            <w:tcW w:w="939" w:type="dxa"/>
            <w:shd w:val="clear" w:color="auto" w:fill="auto"/>
          </w:tcPr>
          <w:p w14:paraId="01852FDF" w14:textId="77777777" w:rsidR="00F40463" w:rsidRPr="00F40463" w:rsidRDefault="00F40463" w:rsidP="00F40463">
            <w:pPr>
              <w:jc w:val="center"/>
              <w:rPr>
                <w:rFonts w:cs="Arial"/>
                <w:szCs w:val="24"/>
              </w:rPr>
            </w:pPr>
            <w:r w:rsidRPr="00F40463">
              <w:rPr>
                <w:rFonts w:cs="Arial"/>
                <w:szCs w:val="24"/>
              </w:rPr>
              <w:t>£'000</w:t>
            </w:r>
          </w:p>
        </w:tc>
        <w:tc>
          <w:tcPr>
            <w:tcW w:w="1208" w:type="dxa"/>
            <w:shd w:val="clear" w:color="auto" w:fill="auto"/>
          </w:tcPr>
          <w:p w14:paraId="6D8A3E5F" w14:textId="77777777" w:rsidR="00F40463" w:rsidRPr="00F40463" w:rsidRDefault="00F40463" w:rsidP="00F40463">
            <w:pPr>
              <w:jc w:val="center"/>
              <w:rPr>
                <w:rFonts w:cs="Arial"/>
                <w:szCs w:val="24"/>
              </w:rPr>
            </w:pPr>
            <w:r w:rsidRPr="00F40463">
              <w:rPr>
                <w:rFonts w:cs="Arial"/>
                <w:szCs w:val="24"/>
              </w:rPr>
              <w:t>£'000</w:t>
            </w:r>
          </w:p>
        </w:tc>
        <w:tc>
          <w:tcPr>
            <w:tcW w:w="1072" w:type="dxa"/>
            <w:shd w:val="clear" w:color="auto" w:fill="auto"/>
          </w:tcPr>
          <w:p w14:paraId="6B87C3D6" w14:textId="77777777" w:rsidR="00F40463" w:rsidRPr="00F40463" w:rsidRDefault="00F40463" w:rsidP="00F40463">
            <w:pPr>
              <w:jc w:val="center"/>
              <w:rPr>
                <w:rFonts w:cs="Arial"/>
                <w:szCs w:val="24"/>
              </w:rPr>
            </w:pPr>
            <w:r w:rsidRPr="00F40463">
              <w:rPr>
                <w:rFonts w:cs="Arial"/>
                <w:szCs w:val="24"/>
              </w:rPr>
              <w:t>£'000</w:t>
            </w:r>
          </w:p>
        </w:tc>
        <w:tc>
          <w:tcPr>
            <w:tcW w:w="850" w:type="dxa"/>
          </w:tcPr>
          <w:p w14:paraId="5270E1C0" w14:textId="77777777" w:rsidR="00F40463" w:rsidRPr="00F40463" w:rsidRDefault="00F40463" w:rsidP="00F40463">
            <w:pPr>
              <w:jc w:val="center"/>
              <w:rPr>
                <w:rFonts w:cs="Arial"/>
                <w:szCs w:val="24"/>
              </w:rPr>
            </w:pPr>
          </w:p>
        </w:tc>
        <w:tc>
          <w:tcPr>
            <w:tcW w:w="851" w:type="dxa"/>
            <w:shd w:val="clear" w:color="auto" w:fill="auto"/>
          </w:tcPr>
          <w:p w14:paraId="4F916A13" w14:textId="77777777" w:rsidR="00F40463" w:rsidRPr="00F40463" w:rsidRDefault="00F40463" w:rsidP="00F40463">
            <w:pPr>
              <w:jc w:val="center"/>
              <w:rPr>
                <w:rFonts w:cs="Arial"/>
                <w:szCs w:val="24"/>
              </w:rPr>
            </w:pPr>
            <w:r w:rsidRPr="00F40463">
              <w:rPr>
                <w:rFonts w:cs="Arial"/>
                <w:szCs w:val="24"/>
              </w:rPr>
              <w:t>£'000</w:t>
            </w:r>
          </w:p>
        </w:tc>
      </w:tr>
      <w:tr w:rsidR="00EC7194" w:rsidRPr="00F40463" w14:paraId="78347F13" w14:textId="77777777" w:rsidTr="00404B4F">
        <w:trPr>
          <w:trHeight w:val="267"/>
        </w:trPr>
        <w:tc>
          <w:tcPr>
            <w:tcW w:w="1880" w:type="dxa"/>
            <w:gridSpan w:val="2"/>
            <w:shd w:val="clear" w:color="auto" w:fill="auto"/>
          </w:tcPr>
          <w:p w14:paraId="317D2EC1" w14:textId="77777777" w:rsidR="00F40463" w:rsidRPr="00F40463" w:rsidRDefault="00F40463" w:rsidP="00F40463">
            <w:pPr>
              <w:rPr>
                <w:rFonts w:cs="Arial"/>
                <w:szCs w:val="24"/>
              </w:rPr>
            </w:pPr>
            <w:r w:rsidRPr="00F40463">
              <w:rPr>
                <w:rFonts w:cs="Arial"/>
                <w:szCs w:val="24"/>
              </w:rPr>
              <w:t>Permanent Staff</w:t>
            </w:r>
          </w:p>
        </w:tc>
        <w:tc>
          <w:tcPr>
            <w:tcW w:w="939" w:type="dxa"/>
            <w:shd w:val="clear" w:color="auto" w:fill="auto"/>
          </w:tcPr>
          <w:p w14:paraId="2A77670D" w14:textId="77777777" w:rsidR="00F40463" w:rsidRPr="00F40463" w:rsidRDefault="00F40463" w:rsidP="00F40463">
            <w:pPr>
              <w:jc w:val="right"/>
              <w:rPr>
                <w:rFonts w:cs="Arial"/>
                <w:szCs w:val="24"/>
              </w:rPr>
            </w:pPr>
            <w:r w:rsidRPr="00F40463">
              <w:rPr>
                <w:rFonts w:cs="Arial"/>
                <w:szCs w:val="24"/>
              </w:rPr>
              <w:t>(126)</w:t>
            </w:r>
          </w:p>
        </w:tc>
        <w:tc>
          <w:tcPr>
            <w:tcW w:w="1476" w:type="dxa"/>
            <w:shd w:val="clear" w:color="auto" w:fill="auto"/>
          </w:tcPr>
          <w:p w14:paraId="41B91565" w14:textId="77777777" w:rsidR="00F40463" w:rsidRPr="00F40463" w:rsidRDefault="00F40463" w:rsidP="00F40463">
            <w:pPr>
              <w:jc w:val="right"/>
              <w:rPr>
                <w:rFonts w:cs="Arial"/>
                <w:szCs w:val="24"/>
              </w:rPr>
            </w:pPr>
          </w:p>
        </w:tc>
        <w:tc>
          <w:tcPr>
            <w:tcW w:w="939" w:type="dxa"/>
            <w:shd w:val="clear" w:color="auto" w:fill="auto"/>
          </w:tcPr>
          <w:p w14:paraId="74769BF4" w14:textId="77777777" w:rsidR="00F40463" w:rsidRPr="00F40463" w:rsidRDefault="00F40463" w:rsidP="00F40463">
            <w:pPr>
              <w:jc w:val="right"/>
              <w:rPr>
                <w:rFonts w:cs="Arial"/>
                <w:szCs w:val="24"/>
              </w:rPr>
            </w:pPr>
          </w:p>
        </w:tc>
        <w:tc>
          <w:tcPr>
            <w:tcW w:w="1208" w:type="dxa"/>
            <w:shd w:val="clear" w:color="auto" w:fill="auto"/>
          </w:tcPr>
          <w:p w14:paraId="0549DECC" w14:textId="77777777" w:rsidR="00F40463" w:rsidRPr="00F40463" w:rsidRDefault="00F40463" w:rsidP="00F40463">
            <w:pPr>
              <w:jc w:val="right"/>
              <w:rPr>
                <w:rFonts w:cs="Arial"/>
                <w:szCs w:val="24"/>
              </w:rPr>
            </w:pPr>
            <w:r w:rsidRPr="00F40463">
              <w:rPr>
                <w:rFonts w:cs="Arial"/>
                <w:szCs w:val="24"/>
              </w:rPr>
              <w:t>(99)</w:t>
            </w:r>
          </w:p>
        </w:tc>
        <w:tc>
          <w:tcPr>
            <w:tcW w:w="1072" w:type="dxa"/>
            <w:shd w:val="clear" w:color="auto" w:fill="auto"/>
          </w:tcPr>
          <w:p w14:paraId="7DF4F506" w14:textId="77777777" w:rsidR="00F40463" w:rsidRPr="00F40463" w:rsidRDefault="00F40463" w:rsidP="00F40463">
            <w:pPr>
              <w:jc w:val="right"/>
              <w:rPr>
                <w:rFonts w:cs="Arial"/>
                <w:szCs w:val="24"/>
              </w:rPr>
            </w:pPr>
            <w:r w:rsidRPr="00F40463">
              <w:rPr>
                <w:rFonts w:cs="Arial"/>
                <w:szCs w:val="24"/>
              </w:rPr>
              <w:t>(111)</w:t>
            </w:r>
          </w:p>
        </w:tc>
        <w:tc>
          <w:tcPr>
            <w:tcW w:w="850" w:type="dxa"/>
          </w:tcPr>
          <w:p w14:paraId="3968DADF" w14:textId="77777777" w:rsidR="00F40463" w:rsidRPr="00F40463" w:rsidRDefault="00F40463" w:rsidP="00F40463">
            <w:pPr>
              <w:jc w:val="right"/>
              <w:rPr>
                <w:rFonts w:cs="Arial"/>
                <w:szCs w:val="24"/>
              </w:rPr>
            </w:pPr>
            <w:r w:rsidRPr="00F40463">
              <w:rPr>
                <w:rFonts w:cs="Arial"/>
                <w:szCs w:val="24"/>
              </w:rPr>
              <w:t>(23)</w:t>
            </w:r>
          </w:p>
        </w:tc>
        <w:tc>
          <w:tcPr>
            <w:tcW w:w="851" w:type="dxa"/>
            <w:shd w:val="clear" w:color="auto" w:fill="auto"/>
          </w:tcPr>
          <w:p w14:paraId="06A161E0" w14:textId="77777777" w:rsidR="00F40463" w:rsidRPr="00F40463" w:rsidRDefault="00F40463" w:rsidP="00F40463">
            <w:pPr>
              <w:jc w:val="right"/>
              <w:rPr>
                <w:rFonts w:cs="Arial"/>
                <w:b/>
                <w:szCs w:val="24"/>
              </w:rPr>
            </w:pPr>
            <w:r w:rsidRPr="00F40463">
              <w:rPr>
                <w:rFonts w:cs="Arial"/>
                <w:b/>
                <w:szCs w:val="24"/>
              </w:rPr>
              <w:t>(359)</w:t>
            </w:r>
          </w:p>
        </w:tc>
      </w:tr>
      <w:tr w:rsidR="00EC7194" w:rsidRPr="00F40463" w14:paraId="34F17307" w14:textId="77777777" w:rsidTr="00404B4F">
        <w:trPr>
          <w:trHeight w:val="516"/>
        </w:trPr>
        <w:tc>
          <w:tcPr>
            <w:tcW w:w="1880" w:type="dxa"/>
            <w:gridSpan w:val="2"/>
            <w:shd w:val="clear" w:color="auto" w:fill="auto"/>
          </w:tcPr>
          <w:p w14:paraId="10FBFEA8" w14:textId="77777777" w:rsidR="00F40463" w:rsidRPr="00F40463" w:rsidRDefault="00F40463" w:rsidP="00F40463">
            <w:pPr>
              <w:rPr>
                <w:rFonts w:cs="Arial"/>
                <w:szCs w:val="24"/>
              </w:rPr>
            </w:pPr>
            <w:r w:rsidRPr="00F40463">
              <w:rPr>
                <w:rFonts w:cs="Arial"/>
                <w:szCs w:val="24"/>
              </w:rPr>
              <w:t>Agency vacancies</w:t>
            </w:r>
          </w:p>
        </w:tc>
        <w:tc>
          <w:tcPr>
            <w:tcW w:w="939" w:type="dxa"/>
            <w:shd w:val="clear" w:color="auto" w:fill="auto"/>
          </w:tcPr>
          <w:p w14:paraId="2E652529" w14:textId="77777777" w:rsidR="00F40463" w:rsidRPr="00F40463" w:rsidRDefault="00F40463" w:rsidP="00F40463">
            <w:pPr>
              <w:jc w:val="right"/>
              <w:rPr>
                <w:rFonts w:cs="Arial"/>
                <w:szCs w:val="24"/>
              </w:rPr>
            </w:pPr>
            <w:r w:rsidRPr="00F40463">
              <w:rPr>
                <w:rFonts w:cs="Arial"/>
                <w:szCs w:val="24"/>
              </w:rPr>
              <w:t>147</w:t>
            </w:r>
          </w:p>
        </w:tc>
        <w:tc>
          <w:tcPr>
            <w:tcW w:w="1476" w:type="dxa"/>
            <w:shd w:val="clear" w:color="auto" w:fill="auto"/>
          </w:tcPr>
          <w:p w14:paraId="794F5D39" w14:textId="77777777" w:rsidR="00F40463" w:rsidRPr="00F40463" w:rsidRDefault="00F40463" w:rsidP="00F40463">
            <w:pPr>
              <w:jc w:val="right"/>
              <w:rPr>
                <w:rFonts w:cs="Arial"/>
                <w:szCs w:val="24"/>
              </w:rPr>
            </w:pPr>
          </w:p>
        </w:tc>
        <w:tc>
          <w:tcPr>
            <w:tcW w:w="939" w:type="dxa"/>
            <w:shd w:val="clear" w:color="auto" w:fill="auto"/>
          </w:tcPr>
          <w:p w14:paraId="74B850E9" w14:textId="77777777" w:rsidR="00F40463" w:rsidRPr="00F40463" w:rsidRDefault="00F40463" w:rsidP="00F40463">
            <w:pPr>
              <w:jc w:val="right"/>
              <w:rPr>
                <w:rFonts w:cs="Arial"/>
                <w:szCs w:val="24"/>
              </w:rPr>
            </w:pPr>
          </w:p>
        </w:tc>
        <w:tc>
          <w:tcPr>
            <w:tcW w:w="1208" w:type="dxa"/>
            <w:shd w:val="clear" w:color="auto" w:fill="auto"/>
          </w:tcPr>
          <w:p w14:paraId="5E04E890" w14:textId="77777777" w:rsidR="00F40463" w:rsidRPr="00F40463" w:rsidRDefault="00F40463" w:rsidP="00F40463">
            <w:pPr>
              <w:jc w:val="right"/>
              <w:rPr>
                <w:rFonts w:cs="Arial"/>
                <w:szCs w:val="24"/>
              </w:rPr>
            </w:pPr>
            <w:r w:rsidRPr="00F40463">
              <w:rPr>
                <w:rFonts w:cs="Arial"/>
                <w:szCs w:val="24"/>
              </w:rPr>
              <w:t>142</w:t>
            </w:r>
          </w:p>
        </w:tc>
        <w:tc>
          <w:tcPr>
            <w:tcW w:w="1072" w:type="dxa"/>
            <w:shd w:val="clear" w:color="auto" w:fill="auto"/>
          </w:tcPr>
          <w:p w14:paraId="7D5AC822" w14:textId="77777777" w:rsidR="00F40463" w:rsidRPr="00F40463" w:rsidRDefault="00F40463" w:rsidP="00F40463">
            <w:pPr>
              <w:jc w:val="right"/>
              <w:rPr>
                <w:rFonts w:cs="Arial"/>
                <w:szCs w:val="24"/>
              </w:rPr>
            </w:pPr>
            <w:r w:rsidRPr="00F40463">
              <w:rPr>
                <w:rFonts w:cs="Arial"/>
                <w:szCs w:val="24"/>
              </w:rPr>
              <w:t>34</w:t>
            </w:r>
          </w:p>
        </w:tc>
        <w:tc>
          <w:tcPr>
            <w:tcW w:w="850" w:type="dxa"/>
          </w:tcPr>
          <w:p w14:paraId="1EBCA8CE" w14:textId="77777777" w:rsidR="00F40463" w:rsidRPr="00F40463" w:rsidRDefault="00F40463" w:rsidP="00F40463">
            <w:pPr>
              <w:jc w:val="right"/>
              <w:rPr>
                <w:rFonts w:cs="Arial"/>
                <w:b/>
                <w:szCs w:val="24"/>
              </w:rPr>
            </w:pPr>
          </w:p>
        </w:tc>
        <w:tc>
          <w:tcPr>
            <w:tcW w:w="851" w:type="dxa"/>
            <w:shd w:val="clear" w:color="auto" w:fill="auto"/>
          </w:tcPr>
          <w:p w14:paraId="46A4A241" w14:textId="77777777" w:rsidR="00F40463" w:rsidRPr="00F40463" w:rsidRDefault="00F40463" w:rsidP="00F40463">
            <w:pPr>
              <w:jc w:val="right"/>
              <w:rPr>
                <w:rFonts w:cs="Arial"/>
                <w:b/>
                <w:szCs w:val="24"/>
              </w:rPr>
            </w:pPr>
            <w:r w:rsidRPr="00F40463">
              <w:rPr>
                <w:rFonts w:cs="Arial"/>
                <w:b/>
                <w:szCs w:val="24"/>
              </w:rPr>
              <w:t>323</w:t>
            </w:r>
          </w:p>
        </w:tc>
      </w:tr>
      <w:tr w:rsidR="00EC7194" w:rsidRPr="00F40463" w14:paraId="1F66402C" w14:textId="77777777" w:rsidTr="00404B4F">
        <w:trPr>
          <w:trHeight w:val="516"/>
        </w:trPr>
        <w:tc>
          <w:tcPr>
            <w:tcW w:w="1880" w:type="dxa"/>
            <w:gridSpan w:val="2"/>
            <w:shd w:val="clear" w:color="auto" w:fill="auto"/>
          </w:tcPr>
          <w:p w14:paraId="2DD69E19" w14:textId="77777777" w:rsidR="00F40463" w:rsidRPr="00F40463" w:rsidRDefault="00F40463" w:rsidP="00F40463">
            <w:pPr>
              <w:rPr>
                <w:rFonts w:cs="Arial"/>
                <w:szCs w:val="24"/>
              </w:rPr>
            </w:pPr>
            <w:r w:rsidRPr="00F40463">
              <w:rPr>
                <w:rFonts w:cs="Arial"/>
                <w:szCs w:val="24"/>
              </w:rPr>
              <w:t>Agency sick/maternity</w:t>
            </w:r>
          </w:p>
        </w:tc>
        <w:tc>
          <w:tcPr>
            <w:tcW w:w="939" w:type="dxa"/>
            <w:shd w:val="clear" w:color="auto" w:fill="auto"/>
          </w:tcPr>
          <w:p w14:paraId="1D7BF4A9" w14:textId="77777777" w:rsidR="00F40463" w:rsidRPr="00F40463" w:rsidRDefault="00F40463" w:rsidP="00F40463">
            <w:pPr>
              <w:jc w:val="right"/>
              <w:rPr>
                <w:rFonts w:cs="Arial"/>
                <w:szCs w:val="24"/>
              </w:rPr>
            </w:pPr>
            <w:r w:rsidRPr="00F40463">
              <w:rPr>
                <w:rFonts w:cs="Arial"/>
                <w:szCs w:val="24"/>
              </w:rPr>
              <w:t>31</w:t>
            </w:r>
          </w:p>
        </w:tc>
        <w:tc>
          <w:tcPr>
            <w:tcW w:w="1476" w:type="dxa"/>
            <w:shd w:val="clear" w:color="auto" w:fill="auto"/>
          </w:tcPr>
          <w:p w14:paraId="3765A720" w14:textId="77777777" w:rsidR="00F40463" w:rsidRPr="00F40463" w:rsidRDefault="00F40463" w:rsidP="00F40463">
            <w:pPr>
              <w:jc w:val="right"/>
              <w:rPr>
                <w:rFonts w:cs="Arial"/>
                <w:szCs w:val="24"/>
              </w:rPr>
            </w:pPr>
          </w:p>
        </w:tc>
        <w:tc>
          <w:tcPr>
            <w:tcW w:w="939" w:type="dxa"/>
            <w:shd w:val="clear" w:color="auto" w:fill="auto"/>
          </w:tcPr>
          <w:p w14:paraId="51C94526" w14:textId="77777777" w:rsidR="00F40463" w:rsidRPr="00F40463" w:rsidRDefault="00F40463" w:rsidP="00F40463">
            <w:pPr>
              <w:jc w:val="right"/>
              <w:rPr>
                <w:rFonts w:cs="Arial"/>
                <w:szCs w:val="24"/>
              </w:rPr>
            </w:pPr>
          </w:p>
        </w:tc>
        <w:tc>
          <w:tcPr>
            <w:tcW w:w="1208" w:type="dxa"/>
            <w:shd w:val="clear" w:color="auto" w:fill="auto"/>
          </w:tcPr>
          <w:p w14:paraId="316EAA6F" w14:textId="77777777" w:rsidR="00F40463" w:rsidRPr="00F40463" w:rsidRDefault="00F40463" w:rsidP="00F40463">
            <w:pPr>
              <w:jc w:val="right"/>
              <w:rPr>
                <w:rFonts w:cs="Arial"/>
                <w:szCs w:val="24"/>
              </w:rPr>
            </w:pPr>
            <w:r w:rsidRPr="00F40463">
              <w:rPr>
                <w:rFonts w:cs="Arial"/>
                <w:szCs w:val="24"/>
              </w:rPr>
              <w:t>38</w:t>
            </w:r>
          </w:p>
        </w:tc>
        <w:tc>
          <w:tcPr>
            <w:tcW w:w="1072" w:type="dxa"/>
            <w:shd w:val="clear" w:color="auto" w:fill="auto"/>
          </w:tcPr>
          <w:p w14:paraId="7D8D1FD0" w14:textId="77777777" w:rsidR="00F40463" w:rsidRPr="00F40463" w:rsidRDefault="00F40463" w:rsidP="00F40463">
            <w:pPr>
              <w:jc w:val="right"/>
              <w:rPr>
                <w:rFonts w:cs="Arial"/>
                <w:szCs w:val="24"/>
              </w:rPr>
            </w:pPr>
            <w:r w:rsidRPr="00F40463">
              <w:rPr>
                <w:rFonts w:cs="Arial"/>
                <w:szCs w:val="24"/>
              </w:rPr>
              <w:t>16</w:t>
            </w:r>
          </w:p>
        </w:tc>
        <w:tc>
          <w:tcPr>
            <w:tcW w:w="850" w:type="dxa"/>
          </w:tcPr>
          <w:p w14:paraId="2A0A774F" w14:textId="77777777" w:rsidR="00F40463" w:rsidRPr="00F40463" w:rsidRDefault="00F40463" w:rsidP="00F40463">
            <w:pPr>
              <w:jc w:val="right"/>
              <w:rPr>
                <w:rFonts w:cs="Arial"/>
                <w:b/>
                <w:szCs w:val="24"/>
              </w:rPr>
            </w:pPr>
          </w:p>
        </w:tc>
        <w:tc>
          <w:tcPr>
            <w:tcW w:w="851" w:type="dxa"/>
            <w:shd w:val="clear" w:color="auto" w:fill="auto"/>
          </w:tcPr>
          <w:p w14:paraId="6E8FD834" w14:textId="77777777" w:rsidR="00F40463" w:rsidRPr="00F40463" w:rsidRDefault="00F40463" w:rsidP="00F40463">
            <w:pPr>
              <w:jc w:val="right"/>
              <w:rPr>
                <w:rFonts w:cs="Arial"/>
                <w:b/>
                <w:szCs w:val="24"/>
              </w:rPr>
            </w:pPr>
            <w:r w:rsidRPr="00F40463">
              <w:rPr>
                <w:rFonts w:cs="Arial"/>
                <w:b/>
                <w:szCs w:val="24"/>
              </w:rPr>
              <w:t>85</w:t>
            </w:r>
          </w:p>
        </w:tc>
      </w:tr>
      <w:tr w:rsidR="00EC7194" w:rsidRPr="00F40463" w14:paraId="506F30DA" w14:textId="77777777" w:rsidTr="00404B4F">
        <w:trPr>
          <w:trHeight w:val="267"/>
        </w:trPr>
        <w:tc>
          <w:tcPr>
            <w:tcW w:w="1880" w:type="dxa"/>
            <w:gridSpan w:val="2"/>
            <w:shd w:val="clear" w:color="auto" w:fill="auto"/>
          </w:tcPr>
          <w:p w14:paraId="30B8A670" w14:textId="77777777" w:rsidR="00F40463" w:rsidRPr="00F40463" w:rsidRDefault="00F40463" w:rsidP="00F40463">
            <w:pPr>
              <w:rPr>
                <w:rFonts w:cs="Arial"/>
                <w:szCs w:val="24"/>
              </w:rPr>
            </w:pPr>
            <w:r w:rsidRPr="00F40463">
              <w:rPr>
                <w:rFonts w:cs="Arial"/>
                <w:szCs w:val="24"/>
              </w:rPr>
              <w:t xml:space="preserve">Supernumerary </w:t>
            </w:r>
          </w:p>
        </w:tc>
        <w:tc>
          <w:tcPr>
            <w:tcW w:w="939" w:type="dxa"/>
            <w:shd w:val="clear" w:color="auto" w:fill="auto"/>
          </w:tcPr>
          <w:p w14:paraId="36D5D0FC" w14:textId="77777777" w:rsidR="00F40463" w:rsidRPr="00F40463" w:rsidRDefault="00F40463" w:rsidP="00F40463">
            <w:pPr>
              <w:jc w:val="right"/>
              <w:rPr>
                <w:rFonts w:cs="Arial"/>
                <w:szCs w:val="24"/>
              </w:rPr>
            </w:pPr>
            <w:r w:rsidRPr="00F40463">
              <w:rPr>
                <w:rFonts w:cs="Arial"/>
                <w:szCs w:val="24"/>
              </w:rPr>
              <w:t>92</w:t>
            </w:r>
          </w:p>
        </w:tc>
        <w:tc>
          <w:tcPr>
            <w:tcW w:w="1476" w:type="dxa"/>
            <w:shd w:val="clear" w:color="auto" w:fill="auto"/>
          </w:tcPr>
          <w:p w14:paraId="43BF1329" w14:textId="77777777" w:rsidR="00F40463" w:rsidRPr="00F40463" w:rsidRDefault="00F40463" w:rsidP="00F40463">
            <w:pPr>
              <w:jc w:val="right"/>
              <w:rPr>
                <w:rFonts w:cs="Arial"/>
                <w:szCs w:val="24"/>
              </w:rPr>
            </w:pPr>
          </w:p>
        </w:tc>
        <w:tc>
          <w:tcPr>
            <w:tcW w:w="939" w:type="dxa"/>
            <w:shd w:val="clear" w:color="auto" w:fill="auto"/>
          </w:tcPr>
          <w:p w14:paraId="144EEDE7" w14:textId="77777777" w:rsidR="00F40463" w:rsidRPr="00F40463" w:rsidRDefault="00F40463" w:rsidP="00F40463">
            <w:pPr>
              <w:jc w:val="right"/>
              <w:rPr>
                <w:rFonts w:cs="Arial"/>
                <w:szCs w:val="24"/>
              </w:rPr>
            </w:pPr>
          </w:p>
        </w:tc>
        <w:tc>
          <w:tcPr>
            <w:tcW w:w="1208" w:type="dxa"/>
            <w:shd w:val="clear" w:color="auto" w:fill="auto"/>
          </w:tcPr>
          <w:p w14:paraId="330980E0" w14:textId="77777777" w:rsidR="00F40463" w:rsidRPr="00F40463" w:rsidRDefault="00F40463" w:rsidP="00F40463">
            <w:pPr>
              <w:jc w:val="right"/>
              <w:rPr>
                <w:rFonts w:cs="Arial"/>
                <w:szCs w:val="24"/>
              </w:rPr>
            </w:pPr>
          </w:p>
        </w:tc>
        <w:tc>
          <w:tcPr>
            <w:tcW w:w="1072" w:type="dxa"/>
            <w:shd w:val="clear" w:color="auto" w:fill="auto"/>
          </w:tcPr>
          <w:p w14:paraId="0EA1CF92" w14:textId="77777777" w:rsidR="00F40463" w:rsidRPr="00F40463" w:rsidRDefault="00F40463" w:rsidP="00F40463">
            <w:pPr>
              <w:jc w:val="right"/>
              <w:rPr>
                <w:rFonts w:cs="Arial"/>
                <w:szCs w:val="24"/>
              </w:rPr>
            </w:pPr>
            <w:r w:rsidRPr="00F40463">
              <w:rPr>
                <w:rFonts w:cs="Arial"/>
                <w:szCs w:val="24"/>
              </w:rPr>
              <w:t>26</w:t>
            </w:r>
          </w:p>
        </w:tc>
        <w:tc>
          <w:tcPr>
            <w:tcW w:w="850" w:type="dxa"/>
          </w:tcPr>
          <w:p w14:paraId="70A4BE5F" w14:textId="77777777" w:rsidR="00F40463" w:rsidRPr="00F40463" w:rsidRDefault="00F40463" w:rsidP="00F40463">
            <w:pPr>
              <w:jc w:val="right"/>
              <w:rPr>
                <w:rFonts w:cs="Arial"/>
                <w:szCs w:val="24"/>
              </w:rPr>
            </w:pPr>
            <w:r w:rsidRPr="00F40463">
              <w:rPr>
                <w:rFonts w:cs="Arial"/>
                <w:szCs w:val="24"/>
              </w:rPr>
              <w:t>93</w:t>
            </w:r>
          </w:p>
        </w:tc>
        <w:tc>
          <w:tcPr>
            <w:tcW w:w="851" w:type="dxa"/>
            <w:shd w:val="clear" w:color="auto" w:fill="auto"/>
          </w:tcPr>
          <w:p w14:paraId="7B283466" w14:textId="77777777" w:rsidR="00F40463" w:rsidRPr="00F40463" w:rsidRDefault="00F40463" w:rsidP="00F40463">
            <w:pPr>
              <w:jc w:val="right"/>
              <w:rPr>
                <w:rFonts w:cs="Arial"/>
                <w:b/>
                <w:szCs w:val="24"/>
              </w:rPr>
            </w:pPr>
            <w:r w:rsidRPr="00F40463">
              <w:rPr>
                <w:rFonts w:cs="Arial"/>
                <w:b/>
                <w:szCs w:val="24"/>
              </w:rPr>
              <w:t>211</w:t>
            </w:r>
          </w:p>
        </w:tc>
      </w:tr>
      <w:tr w:rsidR="00EC7194" w:rsidRPr="00F40463" w14:paraId="5E2FDA85" w14:textId="77777777" w:rsidTr="00404B4F">
        <w:trPr>
          <w:trHeight w:val="258"/>
        </w:trPr>
        <w:tc>
          <w:tcPr>
            <w:tcW w:w="1880" w:type="dxa"/>
            <w:gridSpan w:val="2"/>
            <w:shd w:val="clear" w:color="auto" w:fill="auto"/>
          </w:tcPr>
          <w:p w14:paraId="54B20884" w14:textId="77777777" w:rsidR="00F40463" w:rsidRPr="00F40463" w:rsidRDefault="00F40463" w:rsidP="00F40463">
            <w:pPr>
              <w:rPr>
                <w:rFonts w:cs="Arial"/>
                <w:szCs w:val="24"/>
              </w:rPr>
            </w:pPr>
            <w:r w:rsidRPr="00F40463">
              <w:rPr>
                <w:rFonts w:cs="Arial"/>
                <w:szCs w:val="24"/>
              </w:rPr>
              <w:t xml:space="preserve">As &amp; When </w:t>
            </w:r>
          </w:p>
        </w:tc>
        <w:tc>
          <w:tcPr>
            <w:tcW w:w="939" w:type="dxa"/>
            <w:shd w:val="clear" w:color="auto" w:fill="auto"/>
          </w:tcPr>
          <w:p w14:paraId="4CFD8A51" w14:textId="77777777" w:rsidR="00F40463" w:rsidRPr="00F40463" w:rsidRDefault="00F40463" w:rsidP="00F40463">
            <w:pPr>
              <w:jc w:val="right"/>
              <w:rPr>
                <w:rFonts w:cs="Arial"/>
                <w:szCs w:val="24"/>
              </w:rPr>
            </w:pPr>
            <w:r w:rsidRPr="00F40463">
              <w:rPr>
                <w:rFonts w:cs="Arial"/>
                <w:szCs w:val="24"/>
              </w:rPr>
              <w:t>(8)</w:t>
            </w:r>
          </w:p>
        </w:tc>
        <w:tc>
          <w:tcPr>
            <w:tcW w:w="1476" w:type="dxa"/>
            <w:shd w:val="clear" w:color="auto" w:fill="auto"/>
          </w:tcPr>
          <w:p w14:paraId="35B02183" w14:textId="77777777" w:rsidR="00F40463" w:rsidRPr="00F40463" w:rsidRDefault="00F40463" w:rsidP="00F40463">
            <w:pPr>
              <w:jc w:val="right"/>
              <w:rPr>
                <w:rFonts w:cs="Arial"/>
                <w:szCs w:val="24"/>
              </w:rPr>
            </w:pPr>
          </w:p>
        </w:tc>
        <w:tc>
          <w:tcPr>
            <w:tcW w:w="939" w:type="dxa"/>
            <w:shd w:val="clear" w:color="auto" w:fill="auto"/>
          </w:tcPr>
          <w:p w14:paraId="4102817F" w14:textId="77777777" w:rsidR="00F40463" w:rsidRPr="00F40463" w:rsidRDefault="00F40463" w:rsidP="00F40463">
            <w:pPr>
              <w:jc w:val="right"/>
              <w:rPr>
                <w:rFonts w:cs="Arial"/>
                <w:szCs w:val="24"/>
              </w:rPr>
            </w:pPr>
          </w:p>
        </w:tc>
        <w:tc>
          <w:tcPr>
            <w:tcW w:w="1208" w:type="dxa"/>
            <w:shd w:val="clear" w:color="auto" w:fill="auto"/>
          </w:tcPr>
          <w:p w14:paraId="182EB5FD" w14:textId="77777777" w:rsidR="00F40463" w:rsidRPr="00F40463" w:rsidRDefault="00F40463" w:rsidP="00F40463">
            <w:pPr>
              <w:jc w:val="right"/>
              <w:rPr>
                <w:rFonts w:cs="Arial"/>
                <w:szCs w:val="24"/>
              </w:rPr>
            </w:pPr>
          </w:p>
        </w:tc>
        <w:tc>
          <w:tcPr>
            <w:tcW w:w="1072" w:type="dxa"/>
            <w:shd w:val="clear" w:color="auto" w:fill="auto"/>
          </w:tcPr>
          <w:p w14:paraId="53085E03" w14:textId="77777777" w:rsidR="00F40463" w:rsidRPr="00F40463" w:rsidRDefault="00F40463" w:rsidP="00F40463">
            <w:pPr>
              <w:jc w:val="right"/>
              <w:rPr>
                <w:rFonts w:cs="Arial"/>
                <w:szCs w:val="24"/>
              </w:rPr>
            </w:pPr>
            <w:r w:rsidRPr="00F40463">
              <w:rPr>
                <w:rFonts w:cs="Arial"/>
                <w:szCs w:val="24"/>
              </w:rPr>
              <w:t>108</w:t>
            </w:r>
          </w:p>
        </w:tc>
        <w:tc>
          <w:tcPr>
            <w:tcW w:w="850" w:type="dxa"/>
          </w:tcPr>
          <w:p w14:paraId="030B6E4A" w14:textId="77777777" w:rsidR="00F40463" w:rsidRPr="00F40463" w:rsidRDefault="00F40463" w:rsidP="00F40463">
            <w:pPr>
              <w:jc w:val="right"/>
              <w:rPr>
                <w:rFonts w:cs="Arial"/>
                <w:b/>
                <w:szCs w:val="24"/>
              </w:rPr>
            </w:pPr>
          </w:p>
        </w:tc>
        <w:tc>
          <w:tcPr>
            <w:tcW w:w="851" w:type="dxa"/>
            <w:shd w:val="clear" w:color="auto" w:fill="auto"/>
          </w:tcPr>
          <w:p w14:paraId="6892AE26" w14:textId="77777777" w:rsidR="00F40463" w:rsidRPr="00F40463" w:rsidRDefault="00F40463" w:rsidP="00F40463">
            <w:pPr>
              <w:jc w:val="right"/>
              <w:rPr>
                <w:rFonts w:cs="Arial"/>
                <w:b/>
                <w:szCs w:val="24"/>
              </w:rPr>
            </w:pPr>
            <w:r w:rsidRPr="00F40463">
              <w:rPr>
                <w:rFonts w:cs="Arial"/>
                <w:b/>
                <w:szCs w:val="24"/>
              </w:rPr>
              <w:t>100</w:t>
            </w:r>
          </w:p>
        </w:tc>
      </w:tr>
      <w:tr w:rsidR="00EC7194" w:rsidRPr="00F40463" w14:paraId="09B59C05" w14:textId="77777777" w:rsidTr="00404B4F">
        <w:trPr>
          <w:trHeight w:val="258"/>
        </w:trPr>
        <w:tc>
          <w:tcPr>
            <w:tcW w:w="1880" w:type="dxa"/>
            <w:gridSpan w:val="2"/>
            <w:tcBorders>
              <w:bottom w:val="single" w:sz="4" w:space="0" w:color="auto"/>
            </w:tcBorders>
            <w:shd w:val="clear" w:color="auto" w:fill="auto"/>
          </w:tcPr>
          <w:p w14:paraId="6CDF14AD" w14:textId="77777777" w:rsidR="00F40463" w:rsidRPr="00F40463" w:rsidRDefault="00F40463" w:rsidP="00F40463">
            <w:pPr>
              <w:rPr>
                <w:rFonts w:cs="Arial"/>
                <w:b/>
                <w:szCs w:val="24"/>
              </w:rPr>
            </w:pPr>
            <w:r w:rsidRPr="00F40463">
              <w:rPr>
                <w:rFonts w:cs="Arial"/>
                <w:b/>
                <w:szCs w:val="24"/>
              </w:rPr>
              <w:t>Total</w:t>
            </w:r>
          </w:p>
        </w:tc>
        <w:tc>
          <w:tcPr>
            <w:tcW w:w="939" w:type="dxa"/>
            <w:tcBorders>
              <w:bottom w:val="single" w:sz="4" w:space="0" w:color="auto"/>
            </w:tcBorders>
            <w:shd w:val="clear" w:color="auto" w:fill="auto"/>
          </w:tcPr>
          <w:p w14:paraId="4529346C" w14:textId="77777777" w:rsidR="00F40463" w:rsidRPr="00F40463" w:rsidRDefault="00F40463" w:rsidP="00F40463">
            <w:pPr>
              <w:jc w:val="right"/>
              <w:rPr>
                <w:rFonts w:cs="Arial"/>
                <w:b/>
                <w:szCs w:val="24"/>
              </w:rPr>
            </w:pPr>
            <w:r w:rsidRPr="00F40463">
              <w:rPr>
                <w:rFonts w:cs="Arial"/>
                <w:b/>
                <w:szCs w:val="24"/>
              </w:rPr>
              <w:t>136</w:t>
            </w:r>
          </w:p>
        </w:tc>
        <w:tc>
          <w:tcPr>
            <w:tcW w:w="1476" w:type="dxa"/>
            <w:tcBorders>
              <w:bottom w:val="single" w:sz="4" w:space="0" w:color="auto"/>
            </w:tcBorders>
            <w:shd w:val="clear" w:color="auto" w:fill="auto"/>
          </w:tcPr>
          <w:p w14:paraId="58CCEB93" w14:textId="77777777" w:rsidR="00F40463" w:rsidRPr="00F40463" w:rsidRDefault="00F40463" w:rsidP="00F40463">
            <w:pPr>
              <w:jc w:val="right"/>
              <w:rPr>
                <w:rFonts w:cs="Arial"/>
                <w:b/>
                <w:szCs w:val="24"/>
              </w:rPr>
            </w:pPr>
            <w:r w:rsidRPr="00F40463">
              <w:rPr>
                <w:rFonts w:cs="Arial"/>
                <w:b/>
                <w:szCs w:val="24"/>
              </w:rPr>
              <w:t>0</w:t>
            </w:r>
          </w:p>
        </w:tc>
        <w:tc>
          <w:tcPr>
            <w:tcW w:w="939" w:type="dxa"/>
            <w:tcBorders>
              <w:bottom w:val="single" w:sz="4" w:space="0" w:color="auto"/>
            </w:tcBorders>
            <w:shd w:val="clear" w:color="auto" w:fill="auto"/>
          </w:tcPr>
          <w:p w14:paraId="48764629" w14:textId="77777777" w:rsidR="00F40463" w:rsidRPr="00F40463" w:rsidRDefault="00F40463" w:rsidP="00F40463">
            <w:pPr>
              <w:jc w:val="right"/>
              <w:rPr>
                <w:rFonts w:cs="Arial"/>
                <w:b/>
                <w:szCs w:val="24"/>
              </w:rPr>
            </w:pPr>
            <w:r w:rsidRPr="00F40463">
              <w:rPr>
                <w:rFonts w:cs="Arial"/>
                <w:b/>
                <w:szCs w:val="24"/>
              </w:rPr>
              <w:t>0</w:t>
            </w:r>
          </w:p>
        </w:tc>
        <w:tc>
          <w:tcPr>
            <w:tcW w:w="1208" w:type="dxa"/>
            <w:tcBorders>
              <w:bottom w:val="single" w:sz="4" w:space="0" w:color="auto"/>
            </w:tcBorders>
            <w:shd w:val="clear" w:color="auto" w:fill="auto"/>
          </w:tcPr>
          <w:p w14:paraId="7C6E71FA" w14:textId="77777777" w:rsidR="00F40463" w:rsidRPr="00F40463" w:rsidRDefault="00F40463" w:rsidP="00F40463">
            <w:pPr>
              <w:jc w:val="right"/>
              <w:rPr>
                <w:rFonts w:cs="Arial"/>
                <w:b/>
                <w:szCs w:val="24"/>
              </w:rPr>
            </w:pPr>
            <w:r w:rsidRPr="00F40463">
              <w:rPr>
                <w:rFonts w:cs="Arial"/>
                <w:b/>
                <w:szCs w:val="24"/>
              </w:rPr>
              <w:t>81</w:t>
            </w:r>
          </w:p>
        </w:tc>
        <w:tc>
          <w:tcPr>
            <w:tcW w:w="1072" w:type="dxa"/>
            <w:tcBorders>
              <w:bottom w:val="single" w:sz="4" w:space="0" w:color="auto"/>
            </w:tcBorders>
            <w:shd w:val="clear" w:color="auto" w:fill="auto"/>
          </w:tcPr>
          <w:p w14:paraId="341770EB" w14:textId="77777777" w:rsidR="00F40463" w:rsidRPr="00F40463" w:rsidRDefault="00F40463" w:rsidP="00F40463">
            <w:pPr>
              <w:jc w:val="right"/>
              <w:rPr>
                <w:rFonts w:cs="Arial"/>
                <w:b/>
                <w:szCs w:val="24"/>
              </w:rPr>
            </w:pPr>
            <w:r w:rsidRPr="00F40463">
              <w:rPr>
                <w:rFonts w:cs="Arial"/>
                <w:b/>
                <w:szCs w:val="24"/>
              </w:rPr>
              <w:t>73</w:t>
            </w:r>
          </w:p>
        </w:tc>
        <w:tc>
          <w:tcPr>
            <w:tcW w:w="850" w:type="dxa"/>
            <w:tcBorders>
              <w:bottom w:val="single" w:sz="4" w:space="0" w:color="auto"/>
            </w:tcBorders>
          </w:tcPr>
          <w:p w14:paraId="0253ACD5" w14:textId="77777777" w:rsidR="00F40463" w:rsidRPr="00F40463" w:rsidRDefault="00F40463" w:rsidP="00F40463">
            <w:pPr>
              <w:jc w:val="right"/>
              <w:rPr>
                <w:rFonts w:cs="Arial"/>
                <w:b/>
                <w:szCs w:val="24"/>
              </w:rPr>
            </w:pPr>
            <w:r w:rsidRPr="00F40463">
              <w:rPr>
                <w:rFonts w:cs="Arial"/>
                <w:b/>
                <w:szCs w:val="24"/>
              </w:rPr>
              <w:t>70</w:t>
            </w:r>
          </w:p>
        </w:tc>
        <w:tc>
          <w:tcPr>
            <w:tcW w:w="851" w:type="dxa"/>
            <w:tcBorders>
              <w:bottom w:val="single" w:sz="4" w:space="0" w:color="auto"/>
            </w:tcBorders>
            <w:shd w:val="clear" w:color="auto" w:fill="auto"/>
          </w:tcPr>
          <w:p w14:paraId="5F1A2977" w14:textId="77777777" w:rsidR="00F40463" w:rsidRPr="00F40463" w:rsidRDefault="00F40463" w:rsidP="00F40463">
            <w:pPr>
              <w:jc w:val="right"/>
              <w:rPr>
                <w:rFonts w:cs="Arial"/>
                <w:b/>
                <w:szCs w:val="24"/>
              </w:rPr>
            </w:pPr>
            <w:r w:rsidRPr="00F40463">
              <w:rPr>
                <w:rFonts w:cs="Arial"/>
                <w:b/>
                <w:szCs w:val="24"/>
              </w:rPr>
              <w:t>360</w:t>
            </w:r>
          </w:p>
        </w:tc>
      </w:tr>
      <w:tr w:rsidR="00F40463" w:rsidRPr="00F40463" w14:paraId="614761E0" w14:textId="77777777" w:rsidTr="00404B4F">
        <w:trPr>
          <w:trHeight w:val="258"/>
        </w:trPr>
        <w:tc>
          <w:tcPr>
            <w:tcW w:w="1074" w:type="dxa"/>
            <w:tcBorders>
              <w:right w:val="nil"/>
            </w:tcBorders>
          </w:tcPr>
          <w:p w14:paraId="172F1182" w14:textId="77777777" w:rsidR="00F40463" w:rsidRPr="00F40463" w:rsidRDefault="00F40463" w:rsidP="00F40463">
            <w:pPr>
              <w:jc w:val="right"/>
              <w:rPr>
                <w:rFonts w:cs="Arial"/>
                <w:b/>
                <w:szCs w:val="24"/>
              </w:rPr>
            </w:pPr>
          </w:p>
        </w:tc>
        <w:tc>
          <w:tcPr>
            <w:tcW w:w="8141" w:type="dxa"/>
            <w:gridSpan w:val="8"/>
            <w:tcBorders>
              <w:left w:val="nil"/>
            </w:tcBorders>
            <w:shd w:val="clear" w:color="auto" w:fill="auto"/>
          </w:tcPr>
          <w:p w14:paraId="03BF69B8" w14:textId="77777777" w:rsidR="00F40463" w:rsidRPr="00F40463" w:rsidRDefault="00F40463" w:rsidP="00F40463">
            <w:pPr>
              <w:jc w:val="right"/>
              <w:rPr>
                <w:rFonts w:cs="Arial"/>
                <w:b/>
                <w:szCs w:val="24"/>
              </w:rPr>
            </w:pPr>
          </w:p>
        </w:tc>
      </w:tr>
      <w:tr w:rsidR="00EC7194" w:rsidRPr="00F40463" w14:paraId="4D459407" w14:textId="77777777" w:rsidTr="00404B4F">
        <w:trPr>
          <w:trHeight w:val="258"/>
        </w:trPr>
        <w:tc>
          <w:tcPr>
            <w:tcW w:w="1880" w:type="dxa"/>
            <w:gridSpan w:val="2"/>
            <w:shd w:val="clear" w:color="auto" w:fill="auto"/>
          </w:tcPr>
          <w:p w14:paraId="0A82CAC2" w14:textId="77777777" w:rsidR="00F40463" w:rsidRPr="00F40463" w:rsidRDefault="00F40463" w:rsidP="00F40463">
            <w:pPr>
              <w:rPr>
                <w:rFonts w:cs="Arial"/>
                <w:szCs w:val="24"/>
              </w:rPr>
            </w:pPr>
            <w:r w:rsidRPr="00F40463">
              <w:rPr>
                <w:rFonts w:cs="Arial"/>
                <w:szCs w:val="24"/>
              </w:rPr>
              <w:t>Budget FTE</w:t>
            </w:r>
          </w:p>
        </w:tc>
        <w:tc>
          <w:tcPr>
            <w:tcW w:w="939" w:type="dxa"/>
            <w:shd w:val="clear" w:color="auto" w:fill="auto"/>
          </w:tcPr>
          <w:p w14:paraId="56A93C08" w14:textId="77777777" w:rsidR="00F40463" w:rsidRPr="00F40463" w:rsidRDefault="00F40463" w:rsidP="00F40463">
            <w:pPr>
              <w:jc w:val="right"/>
              <w:rPr>
                <w:rFonts w:cs="Arial"/>
                <w:szCs w:val="24"/>
              </w:rPr>
            </w:pPr>
            <w:r w:rsidRPr="00F40463">
              <w:rPr>
                <w:rFonts w:cs="Arial"/>
                <w:szCs w:val="24"/>
              </w:rPr>
              <w:t>42.5</w:t>
            </w:r>
          </w:p>
        </w:tc>
        <w:tc>
          <w:tcPr>
            <w:tcW w:w="1476" w:type="dxa"/>
            <w:shd w:val="clear" w:color="auto" w:fill="auto"/>
          </w:tcPr>
          <w:p w14:paraId="3570EAA7" w14:textId="77777777" w:rsidR="00F40463" w:rsidRPr="00F40463" w:rsidRDefault="00F40463" w:rsidP="00F40463">
            <w:pPr>
              <w:jc w:val="right"/>
              <w:rPr>
                <w:rFonts w:cs="Arial"/>
                <w:szCs w:val="24"/>
              </w:rPr>
            </w:pPr>
            <w:r w:rsidRPr="00F40463">
              <w:rPr>
                <w:rFonts w:cs="Arial"/>
                <w:szCs w:val="24"/>
              </w:rPr>
              <w:t>14.1</w:t>
            </w:r>
          </w:p>
        </w:tc>
        <w:tc>
          <w:tcPr>
            <w:tcW w:w="939" w:type="dxa"/>
            <w:shd w:val="clear" w:color="auto" w:fill="auto"/>
          </w:tcPr>
          <w:p w14:paraId="47E6EA26" w14:textId="77777777" w:rsidR="00F40463" w:rsidRPr="00F40463" w:rsidRDefault="00F40463" w:rsidP="00F40463">
            <w:pPr>
              <w:jc w:val="right"/>
              <w:rPr>
                <w:rFonts w:cs="Arial"/>
                <w:szCs w:val="24"/>
              </w:rPr>
            </w:pPr>
            <w:r w:rsidRPr="00F40463">
              <w:rPr>
                <w:rFonts w:cs="Arial"/>
                <w:szCs w:val="24"/>
              </w:rPr>
              <w:t>11.0</w:t>
            </w:r>
          </w:p>
        </w:tc>
        <w:tc>
          <w:tcPr>
            <w:tcW w:w="1208" w:type="dxa"/>
            <w:shd w:val="clear" w:color="auto" w:fill="auto"/>
          </w:tcPr>
          <w:p w14:paraId="00B199B6" w14:textId="77777777" w:rsidR="00F40463" w:rsidRPr="00F40463" w:rsidRDefault="00F40463" w:rsidP="00F40463">
            <w:pPr>
              <w:jc w:val="right"/>
              <w:rPr>
                <w:rFonts w:cs="Arial"/>
                <w:szCs w:val="24"/>
              </w:rPr>
            </w:pPr>
            <w:r w:rsidRPr="00F40463">
              <w:rPr>
                <w:rFonts w:cs="Arial"/>
                <w:szCs w:val="24"/>
              </w:rPr>
              <w:t>58.0</w:t>
            </w:r>
          </w:p>
        </w:tc>
        <w:tc>
          <w:tcPr>
            <w:tcW w:w="1072" w:type="dxa"/>
            <w:shd w:val="clear" w:color="auto" w:fill="auto"/>
          </w:tcPr>
          <w:p w14:paraId="38628FCB" w14:textId="77777777" w:rsidR="00F40463" w:rsidRPr="00F40463" w:rsidRDefault="00F40463" w:rsidP="00F40463">
            <w:pPr>
              <w:jc w:val="right"/>
              <w:rPr>
                <w:rFonts w:cs="Arial"/>
                <w:szCs w:val="24"/>
              </w:rPr>
            </w:pPr>
            <w:r w:rsidRPr="00F40463">
              <w:rPr>
                <w:rFonts w:cs="Arial"/>
                <w:szCs w:val="24"/>
              </w:rPr>
              <w:t>49.0</w:t>
            </w:r>
          </w:p>
        </w:tc>
        <w:tc>
          <w:tcPr>
            <w:tcW w:w="850" w:type="dxa"/>
          </w:tcPr>
          <w:p w14:paraId="38332CD3" w14:textId="77777777" w:rsidR="00F40463" w:rsidRPr="00F40463" w:rsidRDefault="00F40463" w:rsidP="00F40463">
            <w:pPr>
              <w:jc w:val="right"/>
              <w:rPr>
                <w:rFonts w:cs="Arial"/>
                <w:szCs w:val="24"/>
              </w:rPr>
            </w:pPr>
            <w:r w:rsidRPr="00F40463">
              <w:rPr>
                <w:rFonts w:cs="Arial"/>
                <w:szCs w:val="24"/>
              </w:rPr>
              <w:t>12.5</w:t>
            </w:r>
          </w:p>
        </w:tc>
        <w:tc>
          <w:tcPr>
            <w:tcW w:w="851" w:type="dxa"/>
            <w:shd w:val="clear" w:color="auto" w:fill="auto"/>
          </w:tcPr>
          <w:p w14:paraId="1E4B63EF" w14:textId="77777777" w:rsidR="00F40463" w:rsidRPr="00F40463" w:rsidRDefault="00F40463" w:rsidP="00F40463">
            <w:pPr>
              <w:jc w:val="right"/>
              <w:rPr>
                <w:rFonts w:cs="Arial"/>
                <w:b/>
                <w:szCs w:val="24"/>
              </w:rPr>
            </w:pPr>
            <w:r w:rsidRPr="00F40463">
              <w:rPr>
                <w:rFonts w:cs="Arial"/>
                <w:b/>
                <w:szCs w:val="24"/>
              </w:rPr>
              <w:t>187.1</w:t>
            </w:r>
          </w:p>
        </w:tc>
      </w:tr>
      <w:tr w:rsidR="00EC7194" w:rsidRPr="00F40463" w14:paraId="5C2A15C0" w14:textId="77777777" w:rsidTr="00404B4F">
        <w:trPr>
          <w:trHeight w:val="277"/>
        </w:trPr>
        <w:tc>
          <w:tcPr>
            <w:tcW w:w="1880" w:type="dxa"/>
            <w:gridSpan w:val="2"/>
            <w:shd w:val="clear" w:color="auto" w:fill="auto"/>
          </w:tcPr>
          <w:p w14:paraId="014C9FF9" w14:textId="77777777" w:rsidR="00F40463" w:rsidRPr="00F40463" w:rsidRDefault="00F40463" w:rsidP="00F40463">
            <w:pPr>
              <w:rPr>
                <w:rFonts w:cs="Arial"/>
                <w:szCs w:val="24"/>
              </w:rPr>
            </w:pPr>
            <w:r w:rsidRPr="00F40463">
              <w:rPr>
                <w:rFonts w:cs="Arial"/>
                <w:szCs w:val="24"/>
              </w:rPr>
              <w:t>Forecast FTE</w:t>
            </w:r>
          </w:p>
        </w:tc>
        <w:tc>
          <w:tcPr>
            <w:tcW w:w="939" w:type="dxa"/>
            <w:shd w:val="clear" w:color="auto" w:fill="auto"/>
          </w:tcPr>
          <w:p w14:paraId="73A1B53F" w14:textId="77777777" w:rsidR="00F40463" w:rsidRPr="00F40463" w:rsidRDefault="00F40463" w:rsidP="00F40463">
            <w:pPr>
              <w:jc w:val="right"/>
              <w:rPr>
                <w:rFonts w:cs="Arial"/>
                <w:szCs w:val="24"/>
              </w:rPr>
            </w:pPr>
            <w:r w:rsidRPr="00F40463">
              <w:rPr>
                <w:rFonts w:cs="Arial"/>
                <w:szCs w:val="24"/>
              </w:rPr>
              <w:t>43.0</w:t>
            </w:r>
          </w:p>
        </w:tc>
        <w:tc>
          <w:tcPr>
            <w:tcW w:w="1476" w:type="dxa"/>
            <w:shd w:val="clear" w:color="auto" w:fill="auto"/>
          </w:tcPr>
          <w:p w14:paraId="1DB32F05" w14:textId="77777777" w:rsidR="00F40463" w:rsidRPr="00F40463" w:rsidRDefault="00F40463" w:rsidP="00F40463">
            <w:pPr>
              <w:jc w:val="right"/>
              <w:rPr>
                <w:rFonts w:cs="Arial"/>
                <w:szCs w:val="24"/>
              </w:rPr>
            </w:pPr>
            <w:r w:rsidRPr="00F40463">
              <w:rPr>
                <w:rFonts w:cs="Arial"/>
                <w:szCs w:val="24"/>
              </w:rPr>
              <w:t>14.1</w:t>
            </w:r>
          </w:p>
        </w:tc>
        <w:tc>
          <w:tcPr>
            <w:tcW w:w="939" w:type="dxa"/>
            <w:shd w:val="clear" w:color="auto" w:fill="auto"/>
          </w:tcPr>
          <w:p w14:paraId="7E1F9EDD" w14:textId="77777777" w:rsidR="00F40463" w:rsidRPr="00F40463" w:rsidRDefault="00F40463" w:rsidP="00F40463">
            <w:pPr>
              <w:jc w:val="right"/>
              <w:rPr>
                <w:rFonts w:cs="Arial"/>
                <w:szCs w:val="24"/>
              </w:rPr>
            </w:pPr>
            <w:r w:rsidRPr="00F40463">
              <w:rPr>
                <w:rFonts w:cs="Arial"/>
                <w:szCs w:val="24"/>
              </w:rPr>
              <w:t>11.0</w:t>
            </w:r>
          </w:p>
        </w:tc>
        <w:tc>
          <w:tcPr>
            <w:tcW w:w="1208" w:type="dxa"/>
            <w:shd w:val="clear" w:color="auto" w:fill="auto"/>
          </w:tcPr>
          <w:p w14:paraId="1E1E9280" w14:textId="77777777" w:rsidR="00F40463" w:rsidRPr="00F40463" w:rsidRDefault="00F40463" w:rsidP="00F40463">
            <w:pPr>
              <w:jc w:val="right"/>
              <w:rPr>
                <w:rFonts w:cs="Arial"/>
                <w:szCs w:val="24"/>
              </w:rPr>
            </w:pPr>
            <w:r w:rsidRPr="00F40463">
              <w:rPr>
                <w:rFonts w:cs="Arial"/>
                <w:szCs w:val="24"/>
              </w:rPr>
              <w:t>58.2</w:t>
            </w:r>
          </w:p>
        </w:tc>
        <w:tc>
          <w:tcPr>
            <w:tcW w:w="1072" w:type="dxa"/>
            <w:shd w:val="clear" w:color="auto" w:fill="auto"/>
          </w:tcPr>
          <w:p w14:paraId="15E708E7" w14:textId="77777777" w:rsidR="00F40463" w:rsidRPr="00F40463" w:rsidRDefault="00F40463" w:rsidP="00F40463">
            <w:pPr>
              <w:jc w:val="right"/>
              <w:rPr>
                <w:rFonts w:cs="Arial"/>
                <w:szCs w:val="24"/>
              </w:rPr>
            </w:pPr>
            <w:r w:rsidRPr="00F40463">
              <w:rPr>
                <w:rFonts w:cs="Arial"/>
                <w:szCs w:val="24"/>
              </w:rPr>
              <w:t>47.9</w:t>
            </w:r>
          </w:p>
        </w:tc>
        <w:tc>
          <w:tcPr>
            <w:tcW w:w="850" w:type="dxa"/>
          </w:tcPr>
          <w:p w14:paraId="5B4D3592" w14:textId="77777777" w:rsidR="00F40463" w:rsidRPr="00F40463" w:rsidRDefault="00F40463" w:rsidP="00F40463">
            <w:pPr>
              <w:jc w:val="right"/>
              <w:rPr>
                <w:rFonts w:cs="Arial"/>
                <w:szCs w:val="24"/>
              </w:rPr>
            </w:pPr>
            <w:r w:rsidRPr="00F40463">
              <w:rPr>
                <w:rFonts w:cs="Arial"/>
                <w:szCs w:val="24"/>
              </w:rPr>
              <w:t>14.2</w:t>
            </w:r>
          </w:p>
        </w:tc>
        <w:tc>
          <w:tcPr>
            <w:tcW w:w="851" w:type="dxa"/>
            <w:shd w:val="clear" w:color="auto" w:fill="auto"/>
          </w:tcPr>
          <w:p w14:paraId="3C0D0FF6" w14:textId="77777777" w:rsidR="00F40463" w:rsidRPr="00F40463" w:rsidRDefault="00F40463" w:rsidP="00F40463">
            <w:pPr>
              <w:jc w:val="right"/>
              <w:rPr>
                <w:rFonts w:cs="Arial"/>
                <w:b/>
                <w:szCs w:val="24"/>
              </w:rPr>
            </w:pPr>
            <w:r w:rsidRPr="00F40463">
              <w:rPr>
                <w:rFonts w:cs="Arial"/>
                <w:b/>
                <w:szCs w:val="24"/>
              </w:rPr>
              <w:t>188.4</w:t>
            </w:r>
          </w:p>
        </w:tc>
      </w:tr>
    </w:tbl>
    <w:p w14:paraId="6BAB2BD6" w14:textId="3271D621" w:rsidR="003171B9" w:rsidRDefault="003171B9" w:rsidP="00E276E1">
      <w:pPr>
        <w:rPr>
          <w:b/>
        </w:rPr>
      </w:pPr>
    </w:p>
    <w:p w14:paraId="4ECC4EF1" w14:textId="6C760653" w:rsidR="00EC7194" w:rsidRDefault="003B0945" w:rsidP="00404B4F">
      <w:pPr>
        <w:pStyle w:val="ListParagraph"/>
        <w:numPr>
          <w:ilvl w:val="1"/>
          <w:numId w:val="64"/>
        </w:numPr>
        <w:ind w:left="709" w:hanging="709"/>
        <w:jc w:val="both"/>
        <w:rPr>
          <w:bCs/>
        </w:rPr>
      </w:pPr>
      <w:r w:rsidRPr="009102CE">
        <w:rPr>
          <w:b/>
          <w:bCs/>
        </w:rPr>
        <w:t>Families with No Recourse to Public Funds £74k overspend</w:t>
      </w:r>
      <w:r w:rsidRPr="00F65565">
        <w:rPr>
          <w:bCs/>
        </w:rPr>
        <w:t xml:space="preserve"> - </w:t>
      </w:r>
      <w:r w:rsidR="0021139A" w:rsidRPr="00F65565">
        <w:rPr>
          <w:bCs/>
        </w:rPr>
        <w:t xml:space="preserve">These are families being supported by the Council because they have no recourse to public funds (NRPF). The welfare reforms, along with stricter enforcement of Asylum Legislation are the main causal factors for this demand, which is unpredictable in terms of volume and costs. The exit routes for ceasing funding are dependent on variable factors, many of which cannot be controlled by the Council. 1.5 FTE bespoke workers have been recruited to focus specifically on these families to help reduce costs and mitigate the financial pressures on this budget. These workers are currently supporting </w:t>
      </w:r>
      <w:r w:rsidR="00144C1D" w:rsidRPr="00F65565">
        <w:rPr>
          <w:bCs/>
        </w:rPr>
        <w:t>22</w:t>
      </w:r>
      <w:r w:rsidR="0021139A" w:rsidRPr="00F65565">
        <w:rPr>
          <w:bCs/>
        </w:rPr>
        <w:t xml:space="preserve"> cases, </w:t>
      </w:r>
      <w:r w:rsidR="00144C1D" w:rsidRPr="00F65565">
        <w:rPr>
          <w:bCs/>
        </w:rPr>
        <w:t>5</w:t>
      </w:r>
      <w:r w:rsidR="0021139A" w:rsidRPr="00F65565">
        <w:rPr>
          <w:bCs/>
        </w:rPr>
        <w:t xml:space="preserve"> cases have been successfully closed </w:t>
      </w:r>
      <w:r w:rsidR="00144C1D" w:rsidRPr="00F65565">
        <w:rPr>
          <w:bCs/>
        </w:rPr>
        <w:t>since April 2017.</w:t>
      </w:r>
    </w:p>
    <w:p w14:paraId="4264097A" w14:textId="06DD9C43" w:rsidR="00DE4BC5" w:rsidRPr="00F65565" w:rsidRDefault="00DE4BC5" w:rsidP="00EC7194">
      <w:pPr>
        <w:pStyle w:val="ListParagraph"/>
        <w:ind w:left="672"/>
        <w:rPr>
          <w:bCs/>
        </w:rPr>
      </w:pPr>
    </w:p>
    <w:p w14:paraId="0050BE33" w14:textId="77270F96" w:rsidR="0021139A" w:rsidRPr="00EC7194" w:rsidRDefault="00396067" w:rsidP="00404B4F">
      <w:pPr>
        <w:pStyle w:val="ListParagraph"/>
        <w:numPr>
          <w:ilvl w:val="1"/>
          <w:numId w:val="80"/>
        </w:numPr>
        <w:ind w:left="709"/>
        <w:jc w:val="both"/>
      </w:pPr>
      <w:r w:rsidRPr="00396067">
        <w:rPr>
          <w:rFonts w:cs="Arial"/>
          <w:szCs w:val="24"/>
        </w:rPr>
        <w:t>A funding bid is being constructed to purchase the premium service from the Home Office. This will mean the co-location o</w:t>
      </w:r>
      <w:r w:rsidR="00015265">
        <w:rPr>
          <w:rFonts w:cs="Arial"/>
          <w:szCs w:val="24"/>
        </w:rPr>
        <w:t xml:space="preserve">f an Immigration &amp; Enforcement </w:t>
      </w:r>
      <w:r w:rsidRPr="00396067">
        <w:rPr>
          <w:rFonts w:cs="Arial"/>
          <w:szCs w:val="24"/>
        </w:rPr>
        <w:t>Officer who</w:t>
      </w:r>
      <w:r w:rsidR="00B05444">
        <w:rPr>
          <w:rFonts w:cs="Arial"/>
          <w:szCs w:val="24"/>
        </w:rPr>
        <w:t xml:space="preserve"> </w:t>
      </w:r>
      <w:proofErr w:type="gramStart"/>
      <w:r w:rsidRPr="00396067">
        <w:rPr>
          <w:rFonts w:cs="Arial"/>
          <w:szCs w:val="24"/>
        </w:rPr>
        <w:t>will</w:t>
      </w:r>
      <w:proofErr w:type="gramEnd"/>
      <w:r w:rsidRPr="00396067">
        <w:rPr>
          <w:rFonts w:cs="Arial"/>
          <w:szCs w:val="24"/>
        </w:rPr>
        <w:t xml:space="preserve"> fast-track all asylum related processes and background checks. This will reduce the amount of time that families are being funded through no recourse to public funds</w:t>
      </w:r>
      <w:r>
        <w:rPr>
          <w:rFonts w:cs="Arial"/>
          <w:szCs w:val="24"/>
        </w:rPr>
        <w:t>.</w:t>
      </w:r>
    </w:p>
    <w:p w14:paraId="2604CD36" w14:textId="77777777" w:rsidR="00EC7194" w:rsidRPr="00533EC2" w:rsidRDefault="00EC7194" w:rsidP="000A1EAF">
      <w:pPr>
        <w:pStyle w:val="ListParagraph"/>
        <w:ind w:left="709"/>
      </w:pPr>
    </w:p>
    <w:p w14:paraId="12D029FB" w14:textId="289DF741" w:rsidR="007C4E79" w:rsidRDefault="007C4E79" w:rsidP="00404B4F">
      <w:pPr>
        <w:pStyle w:val="ListParagraph"/>
        <w:numPr>
          <w:ilvl w:val="1"/>
          <w:numId w:val="80"/>
        </w:numPr>
        <w:spacing w:after="120"/>
        <w:ind w:left="709"/>
        <w:jc w:val="both"/>
        <w:rPr>
          <w:bCs/>
        </w:rPr>
      </w:pPr>
      <w:r w:rsidRPr="007C4E79">
        <w:rPr>
          <w:b/>
          <w:bCs/>
        </w:rPr>
        <w:t xml:space="preserve">Departmental Legal Costs £103k </w:t>
      </w:r>
      <w:proofErr w:type="gramStart"/>
      <w:r w:rsidRPr="007C4E79">
        <w:rPr>
          <w:b/>
          <w:bCs/>
        </w:rPr>
        <w:t>overspend</w:t>
      </w:r>
      <w:proofErr w:type="gramEnd"/>
      <w:r w:rsidRPr="007C4E79">
        <w:rPr>
          <w:bCs/>
        </w:rPr>
        <w:t xml:space="preserve"> - There is an estimated overspend on disbursements related to barristers, experts and other expenses in relation to care proceedings. The processes for allocating legal costs including the number of hours for legal advice are being analysed, along with the breakdown of disbursements. This analysis will be presented to CSB to make recommendations about priorities for use of in house legal resources across the council</w:t>
      </w:r>
      <w:r>
        <w:rPr>
          <w:bCs/>
        </w:rPr>
        <w:t>.</w:t>
      </w:r>
    </w:p>
    <w:p w14:paraId="23344DEB" w14:textId="0F0451E4" w:rsidR="007C4E79" w:rsidRDefault="007C4E79" w:rsidP="00404B4F">
      <w:pPr>
        <w:pStyle w:val="ListParagraph"/>
        <w:numPr>
          <w:ilvl w:val="1"/>
          <w:numId w:val="80"/>
        </w:numPr>
        <w:spacing w:after="120"/>
        <w:ind w:left="709"/>
        <w:jc w:val="both"/>
        <w:rPr>
          <w:bCs/>
        </w:rPr>
      </w:pPr>
      <w:r w:rsidRPr="007C4E79">
        <w:rPr>
          <w:b/>
          <w:bCs/>
        </w:rPr>
        <w:t>Signers and Interpreters Fees £90k overspend</w:t>
      </w:r>
      <w:r w:rsidRPr="007C4E79">
        <w:rPr>
          <w:bCs/>
        </w:rPr>
        <w:t xml:space="preserve"> - The provision of an Interpretation and Translation service is a demonstrable component of the Council’s commitment to equality of opportunity, enabling access to information and services</w:t>
      </w:r>
      <w:r>
        <w:rPr>
          <w:bCs/>
        </w:rPr>
        <w:t>.</w:t>
      </w:r>
    </w:p>
    <w:p w14:paraId="1DB686A5" w14:textId="7E4C17EF" w:rsidR="007C4E79" w:rsidRDefault="007C4E79" w:rsidP="00404B4F">
      <w:pPr>
        <w:pStyle w:val="ListParagraph"/>
        <w:numPr>
          <w:ilvl w:val="1"/>
          <w:numId w:val="80"/>
        </w:numPr>
        <w:spacing w:after="120"/>
        <w:ind w:left="709"/>
        <w:jc w:val="both"/>
        <w:rPr>
          <w:bCs/>
        </w:rPr>
      </w:pPr>
      <w:r w:rsidRPr="007C4E79">
        <w:rPr>
          <w:b/>
          <w:bCs/>
        </w:rPr>
        <w:t>Capital Team £170k overspend</w:t>
      </w:r>
      <w:r w:rsidRPr="007C4E79">
        <w:rPr>
          <w:bCs/>
        </w:rPr>
        <w:t xml:space="preserve"> - There are anticipated costs for external legal services and external commercial and technical advice </w:t>
      </w:r>
      <w:r w:rsidRPr="007C4E79">
        <w:rPr>
          <w:bCs/>
        </w:rPr>
        <w:lastRenderedPageBreak/>
        <w:t>services in relation to continued efforts to close the accounts for School Expansion Programme phase 2 (SEP2</w:t>
      </w:r>
      <w:r>
        <w:rPr>
          <w:bCs/>
        </w:rPr>
        <w:t>).</w:t>
      </w:r>
    </w:p>
    <w:p w14:paraId="008632F1" w14:textId="1C2E4C52" w:rsidR="00D85184" w:rsidRDefault="00D85184" w:rsidP="00404B4F">
      <w:pPr>
        <w:pStyle w:val="ListParagraph"/>
        <w:numPr>
          <w:ilvl w:val="1"/>
          <w:numId w:val="79"/>
        </w:numPr>
        <w:spacing w:after="120"/>
        <w:ind w:left="709" w:hanging="425"/>
        <w:jc w:val="both"/>
        <w:rPr>
          <w:bCs/>
        </w:rPr>
      </w:pPr>
      <w:r w:rsidRPr="00385FB2">
        <w:rPr>
          <w:b/>
          <w:bCs/>
        </w:rPr>
        <w:t>Commissioning Team £</w:t>
      </w:r>
      <w:r>
        <w:rPr>
          <w:b/>
          <w:bCs/>
        </w:rPr>
        <w:t>248</w:t>
      </w:r>
      <w:r w:rsidRPr="00385FB2">
        <w:rPr>
          <w:b/>
          <w:bCs/>
        </w:rPr>
        <w:t>k overspend</w:t>
      </w:r>
      <w:r>
        <w:rPr>
          <w:bCs/>
        </w:rPr>
        <w:t xml:space="preserve">  - </w:t>
      </w:r>
      <w:r w:rsidRPr="003B0945">
        <w:rPr>
          <w:bCs/>
        </w:rPr>
        <w:t>This pressure results from redundancy and residual staffing costs of 3 members of staff who are expected to leave in September as part of the MTFS saving in this area which has been delayed in its implementation</w:t>
      </w:r>
      <w:r>
        <w:rPr>
          <w:bCs/>
        </w:rPr>
        <w:t>.</w:t>
      </w:r>
    </w:p>
    <w:p w14:paraId="21137A8D" w14:textId="3B808301" w:rsidR="0040415A" w:rsidRPr="00BB0A57" w:rsidRDefault="00D85184" w:rsidP="00404B4F">
      <w:pPr>
        <w:pStyle w:val="ListParagraph"/>
        <w:numPr>
          <w:ilvl w:val="1"/>
          <w:numId w:val="79"/>
        </w:numPr>
        <w:spacing w:after="120"/>
        <w:ind w:left="709" w:hanging="425"/>
        <w:jc w:val="both"/>
        <w:rPr>
          <w:bCs/>
        </w:rPr>
      </w:pPr>
      <w:r w:rsidRPr="00B13B65">
        <w:rPr>
          <w:b/>
          <w:bCs/>
        </w:rPr>
        <w:t>Other small overspends £6k</w:t>
      </w:r>
      <w:r>
        <w:rPr>
          <w:b/>
          <w:bCs/>
        </w:rPr>
        <w:t>.</w:t>
      </w:r>
    </w:p>
    <w:p w14:paraId="41191875" w14:textId="4C2E8465" w:rsidR="0040415A" w:rsidRPr="00404B4F" w:rsidRDefault="00E83168" w:rsidP="00404B4F">
      <w:pPr>
        <w:pStyle w:val="ListParagraph"/>
        <w:numPr>
          <w:ilvl w:val="1"/>
          <w:numId w:val="79"/>
        </w:numPr>
        <w:spacing w:after="120"/>
        <w:ind w:left="709" w:hanging="425"/>
        <w:jc w:val="both"/>
        <w:rPr>
          <w:bCs/>
        </w:rPr>
      </w:pPr>
      <w:r w:rsidRPr="00404B4F">
        <w:rPr>
          <w:bCs/>
        </w:rPr>
        <w:t>The above pressure of £4.511m is reduced to £3.560m by one off management actions of (£610k) and draw down from reserves of (£341k) which is mainly for redundancy payment.</w:t>
      </w:r>
    </w:p>
    <w:p w14:paraId="4357F77F" w14:textId="51CCFE28" w:rsidR="00D85184" w:rsidRPr="00404B4F" w:rsidRDefault="00D85184" w:rsidP="00404B4F">
      <w:pPr>
        <w:pStyle w:val="ListParagraph"/>
        <w:numPr>
          <w:ilvl w:val="1"/>
          <w:numId w:val="85"/>
        </w:numPr>
        <w:spacing w:after="120"/>
        <w:ind w:left="709" w:hanging="709"/>
        <w:jc w:val="both"/>
        <w:rPr>
          <w:bCs/>
        </w:rPr>
      </w:pPr>
      <w:r w:rsidRPr="00404B4F">
        <w:rPr>
          <w:bCs/>
        </w:rPr>
        <w:t>The Children’s forecast excludes the costs associated with Pinner Wood School. In June, Cabinet were updated on the cost estimates for Pinner Wood School and the proposed funding. The estimated revenue cost of £1.840m will be funded by £1.248m from the revenue contingency for unforeseen items and £592k from the corporate budget. In addition £2.860m was estimated as the capital cost, this will be funded from the 2016/17 Capital Programme underspend.</w:t>
      </w:r>
    </w:p>
    <w:p w14:paraId="30927981" w14:textId="64E66D20" w:rsidR="007C4E79" w:rsidRDefault="007C4E79" w:rsidP="00E8374A">
      <w:pPr>
        <w:pStyle w:val="ListParagraph"/>
        <w:spacing w:after="120"/>
        <w:ind w:left="689"/>
        <w:jc w:val="both"/>
        <w:rPr>
          <w:bCs/>
        </w:rPr>
      </w:pPr>
    </w:p>
    <w:p w14:paraId="7BE1191B" w14:textId="77777777" w:rsidR="00D63B83" w:rsidRDefault="00D63B83" w:rsidP="00E8374A">
      <w:pPr>
        <w:pStyle w:val="ListParagraph"/>
        <w:spacing w:after="120"/>
        <w:ind w:left="689"/>
        <w:jc w:val="both"/>
        <w:rPr>
          <w:bCs/>
        </w:rPr>
      </w:pPr>
    </w:p>
    <w:p w14:paraId="572D5879" w14:textId="70B464A4" w:rsidR="00F37451" w:rsidRPr="00C97D07" w:rsidRDefault="00F37451" w:rsidP="00E8374A">
      <w:pPr>
        <w:pStyle w:val="ListParagraph"/>
        <w:spacing w:after="120"/>
        <w:ind w:left="689"/>
        <w:jc w:val="both"/>
        <w:rPr>
          <w:b/>
          <w:bCs/>
          <w:u w:val="single"/>
        </w:rPr>
      </w:pPr>
      <w:r w:rsidRPr="00C97D07">
        <w:rPr>
          <w:b/>
          <w:bCs/>
          <w:u w:val="single"/>
        </w:rPr>
        <w:t>REGENERATION</w:t>
      </w:r>
      <w:r w:rsidR="00C97D07">
        <w:rPr>
          <w:b/>
          <w:bCs/>
          <w:u w:val="single"/>
        </w:rPr>
        <w:t>, ENTERPRISE AND PLANNING</w:t>
      </w:r>
    </w:p>
    <w:p w14:paraId="68BF8126" w14:textId="77777777" w:rsidR="00D85184" w:rsidRPr="00F37451" w:rsidRDefault="00D85184" w:rsidP="00F37451">
      <w:pPr>
        <w:pStyle w:val="ListParagraph"/>
        <w:ind w:left="689"/>
        <w:rPr>
          <w:bCs/>
        </w:rPr>
      </w:pPr>
    </w:p>
    <w:p w14:paraId="43CFF51C" w14:textId="2D148FC7" w:rsidR="003532CD" w:rsidRDefault="00F37451" w:rsidP="00404B4F">
      <w:pPr>
        <w:pStyle w:val="ListParagraph"/>
        <w:numPr>
          <w:ilvl w:val="1"/>
          <w:numId w:val="38"/>
        </w:numPr>
        <w:spacing w:after="120"/>
        <w:ind w:hanging="689"/>
        <w:jc w:val="both"/>
        <w:rPr>
          <w:bCs/>
        </w:rPr>
      </w:pPr>
      <w:r w:rsidRPr="00F37451">
        <w:rPr>
          <w:bCs/>
        </w:rPr>
        <w:t>At Period 3, Regeneration, Enterprise &amp; Planning are reporting a balanced budget</w:t>
      </w:r>
      <w:r w:rsidR="00666AFB">
        <w:rPr>
          <w:bCs/>
        </w:rPr>
        <w:t>.</w:t>
      </w:r>
    </w:p>
    <w:p w14:paraId="2CB73E33" w14:textId="77777777" w:rsidR="00F37451" w:rsidRDefault="00F37451" w:rsidP="00404B4F">
      <w:pPr>
        <w:pStyle w:val="ListParagraph"/>
        <w:numPr>
          <w:ilvl w:val="1"/>
          <w:numId w:val="38"/>
        </w:numPr>
        <w:ind w:left="709" w:hanging="709"/>
        <w:jc w:val="both"/>
        <w:rPr>
          <w:bCs/>
        </w:rPr>
      </w:pPr>
      <w:r w:rsidRPr="00F37451">
        <w:rPr>
          <w:bCs/>
        </w:rPr>
        <w:t>Regeneration activity, estimated at £1.017m, will be funded from the capacity within the Minimum Revenue Provision (MRP).</w:t>
      </w:r>
    </w:p>
    <w:p w14:paraId="7D073EF8" w14:textId="77777777" w:rsidR="00D85184" w:rsidRPr="00F37451" w:rsidRDefault="00D85184" w:rsidP="006C2CBB">
      <w:pPr>
        <w:pStyle w:val="ListParagraph"/>
        <w:ind w:left="709" w:hanging="848"/>
        <w:jc w:val="both"/>
        <w:rPr>
          <w:bCs/>
        </w:rPr>
      </w:pPr>
    </w:p>
    <w:p w14:paraId="7569CCF1" w14:textId="63221E84" w:rsidR="00F37451" w:rsidRDefault="008755A3" w:rsidP="00404B4F">
      <w:pPr>
        <w:pStyle w:val="ListParagraph"/>
        <w:numPr>
          <w:ilvl w:val="1"/>
          <w:numId w:val="38"/>
        </w:numPr>
        <w:spacing w:after="120"/>
        <w:ind w:left="709" w:hanging="709"/>
        <w:jc w:val="both"/>
        <w:rPr>
          <w:bCs/>
        </w:rPr>
      </w:pPr>
      <w:r w:rsidRPr="008755A3">
        <w:rPr>
          <w:bCs/>
        </w:rPr>
        <w:t>£3.4m [net] of C</w:t>
      </w:r>
      <w:r w:rsidR="00E33042">
        <w:rPr>
          <w:bCs/>
        </w:rPr>
        <w:t xml:space="preserve">ommunity </w:t>
      </w:r>
      <w:r w:rsidR="00E33042" w:rsidRPr="008755A3">
        <w:rPr>
          <w:bCs/>
        </w:rPr>
        <w:t>I</w:t>
      </w:r>
      <w:r w:rsidR="00E33042">
        <w:rPr>
          <w:bCs/>
        </w:rPr>
        <w:t xml:space="preserve">nfrastructure </w:t>
      </w:r>
      <w:r w:rsidRPr="008755A3">
        <w:rPr>
          <w:bCs/>
        </w:rPr>
        <w:t>L</w:t>
      </w:r>
      <w:r w:rsidR="00E33042">
        <w:rPr>
          <w:bCs/>
        </w:rPr>
        <w:t>evy (</w:t>
      </w:r>
      <w:r w:rsidRPr="008755A3">
        <w:rPr>
          <w:bCs/>
        </w:rPr>
        <w:t>S106</w:t>
      </w:r>
      <w:r w:rsidR="00E33042">
        <w:rPr>
          <w:bCs/>
        </w:rPr>
        <w:t>)</w:t>
      </w:r>
      <w:r w:rsidRPr="008755A3">
        <w:rPr>
          <w:bCs/>
        </w:rPr>
        <w:t xml:space="preserve"> monie</w:t>
      </w:r>
      <w:r w:rsidR="00666AFB">
        <w:rPr>
          <w:bCs/>
        </w:rPr>
        <w:t>s has been received at Quarter 1</w:t>
      </w:r>
      <w:r w:rsidRPr="008755A3">
        <w:rPr>
          <w:bCs/>
        </w:rPr>
        <w:t>.  The net unspent income will be transferred to reserves at year end</w:t>
      </w:r>
      <w:r>
        <w:rPr>
          <w:bCs/>
        </w:rPr>
        <w:t>.</w:t>
      </w:r>
    </w:p>
    <w:p w14:paraId="6071F464" w14:textId="77777777" w:rsidR="00A23F65" w:rsidRPr="00A7359D" w:rsidRDefault="00A23F65" w:rsidP="00BB0A57">
      <w:pPr>
        <w:pStyle w:val="ListParagraph"/>
        <w:rPr>
          <w:bCs/>
        </w:rPr>
      </w:pPr>
    </w:p>
    <w:p w14:paraId="54738575" w14:textId="77777777" w:rsidR="00A23F65" w:rsidRPr="00404B4F" w:rsidRDefault="00A23F65" w:rsidP="00404B4F">
      <w:pPr>
        <w:ind w:firstLine="689"/>
        <w:rPr>
          <w:b/>
          <w:bCs/>
          <w:i/>
        </w:rPr>
      </w:pPr>
      <w:r w:rsidRPr="00404B4F">
        <w:rPr>
          <w:b/>
          <w:bCs/>
          <w:i/>
        </w:rPr>
        <w:t>SPENDING CONTROL FREEZE</w:t>
      </w:r>
    </w:p>
    <w:p w14:paraId="64598E14" w14:textId="77777777" w:rsidR="00A23F65" w:rsidRPr="00A7359D" w:rsidRDefault="00A23F65" w:rsidP="00BB0A57">
      <w:pPr>
        <w:pStyle w:val="ListParagraph"/>
        <w:rPr>
          <w:bCs/>
        </w:rPr>
      </w:pPr>
    </w:p>
    <w:p w14:paraId="05C15153" w14:textId="74CD0438" w:rsidR="00A23F65" w:rsidRDefault="00A23F65" w:rsidP="00404B4F">
      <w:pPr>
        <w:pStyle w:val="ListParagraph"/>
        <w:numPr>
          <w:ilvl w:val="1"/>
          <w:numId w:val="61"/>
        </w:numPr>
        <w:spacing w:after="120"/>
        <w:ind w:left="709" w:hanging="709"/>
        <w:jc w:val="both"/>
        <w:rPr>
          <w:bCs/>
        </w:rPr>
      </w:pPr>
      <w:r w:rsidRPr="00A23F65">
        <w:rPr>
          <w:bCs/>
        </w:rPr>
        <w:t>Following the review of Building Control fees earlier this year, additional income may be achievable subject to the number of applications being at a similar level as pre-</w:t>
      </w:r>
      <w:proofErr w:type="spellStart"/>
      <w:r w:rsidRPr="00A23F65">
        <w:rPr>
          <w:bCs/>
        </w:rPr>
        <w:t>Brexit</w:t>
      </w:r>
      <w:proofErr w:type="spellEnd"/>
      <w:r w:rsidRPr="00A23F65">
        <w:rPr>
          <w:bCs/>
        </w:rPr>
        <w:t xml:space="preserve"> time. The income can be volatile and will require regular monitoring as part of monthly forecast. At this stage, it is anticipated that an additional income of £25k may be achieved in </w:t>
      </w:r>
      <w:r w:rsidR="00F92234">
        <w:rPr>
          <w:bCs/>
        </w:rPr>
        <w:t>20</w:t>
      </w:r>
      <w:r w:rsidRPr="00A23F65">
        <w:rPr>
          <w:bCs/>
        </w:rPr>
        <w:t xml:space="preserve">17/18. In addition, a recharge of planning officers’ time against CIL administrative fee is considered possible but this will be subject to the actual time legitimately spent on CIL related work. It is estimated that a one-off recharge of £50k can be achieved from this in </w:t>
      </w:r>
      <w:r w:rsidR="00E33042">
        <w:rPr>
          <w:bCs/>
        </w:rPr>
        <w:t>20</w:t>
      </w:r>
      <w:r w:rsidRPr="00A23F65">
        <w:rPr>
          <w:bCs/>
        </w:rPr>
        <w:t>17/18</w:t>
      </w:r>
      <w:r>
        <w:rPr>
          <w:bCs/>
        </w:rPr>
        <w:t>.</w:t>
      </w:r>
    </w:p>
    <w:p w14:paraId="266E9C8A" w14:textId="77777777" w:rsidR="00B93242" w:rsidRPr="00E51655" w:rsidRDefault="00B93242" w:rsidP="00BB0A57">
      <w:pPr>
        <w:pStyle w:val="ListParagraph"/>
        <w:spacing w:after="120"/>
        <w:ind w:left="689"/>
        <w:jc w:val="both"/>
        <w:rPr>
          <w:bCs/>
        </w:rPr>
      </w:pPr>
    </w:p>
    <w:p w14:paraId="4CFB5BC2" w14:textId="0BE35D84" w:rsidR="00A87D50" w:rsidRDefault="00A87D50" w:rsidP="007A5EAC">
      <w:pPr>
        <w:spacing w:after="120"/>
        <w:ind w:left="709"/>
        <w:jc w:val="both"/>
        <w:rPr>
          <w:b/>
          <w:bCs/>
          <w:u w:val="single"/>
        </w:rPr>
      </w:pPr>
      <w:r w:rsidRPr="00C97D07">
        <w:rPr>
          <w:b/>
          <w:bCs/>
          <w:u w:val="single"/>
        </w:rPr>
        <w:t>HOUSING REVENUE ACCOUNT</w:t>
      </w:r>
    </w:p>
    <w:p w14:paraId="62CB5A15" w14:textId="2D33F70C" w:rsidR="00A53BFE" w:rsidRPr="008815D5" w:rsidRDefault="0041380A" w:rsidP="00404B4F">
      <w:pPr>
        <w:pStyle w:val="ListParagraph"/>
        <w:numPr>
          <w:ilvl w:val="1"/>
          <w:numId w:val="55"/>
        </w:numPr>
        <w:spacing w:after="120"/>
        <w:ind w:hanging="749"/>
        <w:jc w:val="both"/>
        <w:rPr>
          <w:bCs/>
        </w:rPr>
      </w:pPr>
      <w:r>
        <w:t xml:space="preserve">As at </w:t>
      </w:r>
      <w:r w:rsidR="00CA04DE">
        <w:t>Quarter 1</w:t>
      </w:r>
      <w:r>
        <w:t xml:space="preserve"> there is a</w:t>
      </w:r>
      <w:r w:rsidR="00A87D50" w:rsidRPr="00A87D50">
        <w:t xml:space="preserve"> forecast pressure of £</w:t>
      </w:r>
      <w:r w:rsidR="00A53BFE">
        <w:t>314</w:t>
      </w:r>
      <w:r w:rsidR="00A87D50" w:rsidRPr="00A87D50">
        <w:t>k</w:t>
      </w:r>
      <w:r>
        <w:t xml:space="preserve"> in the HRA</w:t>
      </w:r>
      <w:r w:rsidR="00A53BFE">
        <w:t xml:space="preserve">, </w:t>
      </w:r>
      <w:r w:rsidR="00A53BFE" w:rsidRPr="00A53BFE">
        <w:t xml:space="preserve">an improvement against period 2 of £318k due mainly to capacities identified on staffing and operating costs. The pressure is due mainly </w:t>
      </w:r>
      <w:r w:rsidR="00A53BFE" w:rsidRPr="00A53BFE">
        <w:lastRenderedPageBreak/>
        <w:t>to on-going repairs expenditure required to meet legislative requirements and discharge mandatory health &amp; safety obligations</w:t>
      </w:r>
      <w:r w:rsidR="00E33042">
        <w:t>.</w:t>
      </w:r>
      <w:r w:rsidR="00A87D50" w:rsidRPr="00A87D50">
        <w:t xml:space="preserve"> </w:t>
      </w:r>
    </w:p>
    <w:p w14:paraId="79CAB619" w14:textId="4BE8E145" w:rsidR="00A53BFE" w:rsidRPr="008815D5" w:rsidRDefault="00A53BFE" w:rsidP="00BB0A57">
      <w:pPr>
        <w:pStyle w:val="ListParagraph"/>
        <w:numPr>
          <w:ilvl w:val="1"/>
          <w:numId w:val="55"/>
        </w:numPr>
        <w:spacing w:after="120"/>
        <w:ind w:left="709" w:hanging="709"/>
        <w:jc w:val="both"/>
        <w:rPr>
          <w:bCs/>
        </w:rPr>
      </w:pPr>
      <w:r w:rsidRPr="00A53BFE">
        <w:t>The £314k pressure also includes £200k interest payments to D</w:t>
      </w:r>
      <w:r w:rsidR="00E33042">
        <w:t xml:space="preserve">epartment for </w:t>
      </w:r>
      <w:r w:rsidRPr="00A53BFE">
        <w:t>C</w:t>
      </w:r>
      <w:r w:rsidR="00E33042">
        <w:t xml:space="preserve">ommunity and </w:t>
      </w:r>
      <w:r w:rsidRPr="00A53BFE">
        <w:t>L</w:t>
      </w:r>
      <w:r w:rsidR="00E33042">
        <w:t xml:space="preserve">ocal </w:t>
      </w:r>
      <w:r w:rsidRPr="00A53BFE">
        <w:t>G</w:t>
      </w:r>
      <w:r w:rsidR="00E33042">
        <w:t>over</w:t>
      </w:r>
      <w:r w:rsidR="00F92234">
        <w:t>n</w:t>
      </w:r>
      <w:r w:rsidR="00E33042">
        <w:t>ment</w:t>
      </w:r>
      <w:r w:rsidRPr="00A53BFE">
        <w:t xml:space="preserve"> on retained Right to </w:t>
      </w:r>
      <w:proofErr w:type="gramStart"/>
      <w:r w:rsidRPr="00A53BFE">
        <w:t>Buy</w:t>
      </w:r>
      <w:proofErr w:type="gramEnd"/>
      <w:r w:rsidRPr="00A53BFE">
        <w:t xml:space="preserve"> receipts expected to be repaid to Government under terms of the retention </w:t>
      </w:r>
      <w:r w:rsidR="005A6DF0" w:rsidRPr="00A53BFE">
        <w:t>agreement.</w:t>
      </w:r>
    </w:p>
    <w:p w14:paraId="5962A9EC" w14:textId="5CE0B697" w:rsidR="00A87D50" w:rsidRPr="00A87D50" w:rsidRDefault="00B40A0E" w:rsidP="00404B4F">
      <w:pPr>
        <w:pStyle w:val="ListParagraph"/>
        <w:numPr>
          <w:ilvl w:val="1"/>
          <w:numId w:val="81"/>
        </w:numPr>
        <w:spacing w:after="120"/>
        <w:ind w:hanging="749"/>
        <w:jc w:val="both"/>
        <w:rPr>
          <w:bCs/>
        </w:rPr>
      </w:pPr>
      <w:r>
        <w:t>The c</w:t>
      </w:r>
      <w:r w:rsidR="00A87D50" w:rsidRPr="00A87D50">
        <w:t xml:space="preserve">osts of compulsory upgrade of IT systems have been reflected although additional pressures in this area </w:t>
      </w:r>
      <w:r>
        <w:t xml:space="preserve">are </w:t>
      </w:r>
      <w:r w:rsidR="005A6DF0" w:rsidRPr="00A87D50">
        <w:t>possible;</w:t>
      </w:r>
      <w:r w:rsidR="00A87D50" w:rsidRPr="00A87D50">
        <w:t xml:space="preserve"> </w:t>
      </w:r>
      <w:r>
        <w:t xml:space="preserve">an </w:t>
      </w:r>
      <w:r w:rsidR="00A87D50" w:rsidRPr="00A87D50">
        <w:t xml:space="preserve">impact assessment </w:t>
      </w:r>
      <w:r>
        <w:t xml:space="preserve">is </w:t>
      </w:r>
      <w:r w:rsidR="00A87D50" w:rsidRPr="00A87D50">
        <w:t xml:space="preserve">in progress. Reforms of HRA and Welfare, including rent reduction, borrowing cap and high value voids levy from 2018-19 continue to present significant challenges which are being addressed by </w:t>
      </w:r>
      <w:r>
        <w:t xml:space="preserve">the </w:t>
      </w:r>
      <w:r w:rsidR="00A87D50" w:rsidRPr="00A87D50">
        <w:t>Housing Management Team</w:t>
      </w:r>
      <w:r w:rsidR="00A87D50">
        <w:t>.</w:t>
      </w:r>
    </w:p>
    <w:p w14:paraId="0C84DA27" w14:textId="77777777" w:rsidR="00333BD7" w:rsidRPr="00333BD7" w:rsidRDefault="00333BD7" w:rsidP="00404B4F">
      <w:pPr>
        <w:pStyle w:val="ListParagraph"/>
        <w:numPr>
          <w:ilvl w:val="1"/>
          <w:numId w:val="81"/>
        </w:numPr>
        <w:spacing w:after="120"/>
        <w:ind w:left="709" w:hanging="709"/>
        <w:jc w:val="both"/>
        <w:rPr>
          <w:bCs/>
        </w:rPr>
      </w:pPr>
      <w:r w:rsidRPr="00333BD7">
        <w:t>A summary of the HRA position is provided below which includes estimated balances</w:t>
      </w:r>
      <w:r>
        <w:t>;</w:t>
      </w:r>
    </w:p>
    <w:p w14:paraId="2C685779" w14:textId="77777777" w:rsidR="009D392C" w:rsidRDefault="009D392C" w:rsidP="00BB0A57">
      <w:pPr>
        <w:ind w:firstLine="720"/>
        <w:rPr>
          <w:b/>
          <w:u w:val="single"/>
        </w:rPr>
      </w:pPr>
    </w:p>
    <w:p w14:paraId="39F08BB5" w14:textId="77777777" w:rsidR="009D392C" w:rsidRDefault="009D392C" w:rsidP="00BB0A57">
      <w:pPr>
        <w:ind w:firstLine="720"/>
        <w:rPr>
          <w:b/>
          <w:u w:val="single"/>
        </w:rPr>
      </w:pPr>
    </w:p>
    <w:p w14:paraId="002FEC76" w14:textId="33C99746" w:rsidR="00333BD7" w:rsidRDefault="00333BD7" w:rsidP="00BB0A57">
      <w:pPr>
        <w:ind w:firstLine="720"/>
        <w:rPr>
          <w:b/>
          <w:u w:val="single"/>
        </w:rPr>
      </w:pPr>
      <w:r>
        <w:rPr>
          <w:b/>
          <w:u w:val="single"/>
        </w:rPr>
        <w:t xml:space="preserve">Table </w:t>
      </w:r>
      <w:r w:rsidR="00A23F65">
        <w:rPr>
          <w:b/>
          <w:u w:val="single"/>
        </w:rPr>
        <w:t>6</w:t>
      </w:r>
      <w:r w:rsidRPr="00923BB3">
        <w:rPr>
          <w:b/>
          <w:u w:val="single"/>
        </w:rPr>
        <w:t>: HRA Variance</w:t>
      </w:r>
    </w:p>
    <w:p w14:paraId="5D969969" w14:textId="705E922E" w:rsidR="00333BD7" w:rsidRDefault="00AC66C5" w:rsidP="00333BD7">
      <w:pPr>
        <w:rPr>
          <w:b/>
          <w:u w:val="single"/>
        </w:rPr>
      </w:pPr>
      <w:r>
        <w:rPr>
          <w:b/>
          <w:u w:val="single"/>
        </w:rPr>
        <w:tab/>
      </w:r>
      <w:r w:rsidRPr="00AC66C5">
        <w:rPr>
          <w:noProof/>
          <w:lang w:eastAsia="en-GB"/>
        </w:rPr>
        <w:drawing>
          <wp:inline distT="0" distB="0" distL="0" distR="0" wp14:anchorId="532D1B91" wp14:editId="2FA026D2">
            <wp:extent cx="2440249" cy="695459"/>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40305" cy="695475"/>
                    </a:xfrm>
                    <a:prstGeom prst="rect">
                      <a:avLst/>
                    </a:prstGeom>
                    <a:noFill/>
                    <a:ln>
                      <a:noFill/>
                    </a:ln>
                  </pic:spPr>
                </pic:pic>
              </a:graphicData>
            </a:graphic>
          </wp:inline>
        </w:drawing>
      </w:r>
    </w:p>
    <w:p w14:paraId="2D7D7F13" w14:textId="77777777" w:rsidR="00EC7194" w:rsidRDefault="00EC7194" w:rsidP="00333BD7">
      <w:pPr>
        <w:rPr>
          <w:b/>
          <w:u w:val="single"/>
        </w:rPr>
      </w:pPr>
    </w:p>
    <w:p w14:paraId="002F9C3B" w14:textId="77777777" w:rsidR="00C97D07" w:rsidRPr="00923BB3" w:rsidRDefault="00C97D07" w:rsidP="00333BD7">
      <w:pPr>
        <w:rPr>
          <w:b/>
          <w:u w:val="single"/>
        </w:rPr>
      </w:pPr>
    </w:p>
    <w:p w14:paraId="67C89C5B" w14:textId="578FAE3A" w:rsidR="00333BD7" w:rsidRPr="00C97D07" w:rsidRDefault="00FF61D4" w:rsidP="007A5EAC">
      <w:pPr>
        <w:pStyle w:val="ListParagraph"/>
        <w:spacing w:after="120"/>
        <w:ind w:left="567"/>
        <w:rPr>
          <w:b/>
          <w:bCs/>
          <w:u w:val="single"/>
        </w:rPr>
      </w:pPr>
      <w:r>
        <w:rPr>
          <w:b/>
          <w:bCs/>
        </w:rPr>
        <w:t xml:space="preserve">  </w:t>
      </w:r>
      <w:r w:rsidR="00333BD7" w:rsidRPr="00C97D07">
        <w:rPr>
          <w:b/>
          <w:bCs/>
          <w:u w:val="single"/>
        </w:rPr>
        <w:t>CORPORATE BUDGETS</w:t>
      </w:r>
    </w:p>
    <w:p w14:paraId="0A11AD95" w14:textId="57BD18CB" w:rsidR="00333BD7" w:rsidRPr="00A7359D" w:rsidRDefault="00333BD7" w:rsidP="00404B4F">
      <w:pPr>
        <w:pStyle w:val="ListParagraph"/>
        <w:numPr>
          <w:ilvl w:val="1"/>
          <w:numId w:val="73"/>
        </w:numPr>
        <w:spacing w:after="120"/>
        <w:ind w:hanging="749"/>
        <w:jc w:val="both"/>
        <w:rPr>
          <w:bCs/>
        </w:rPr>
      </w:pPr>
      <w:r w:rsidRPr="00333BD7">
        <w:t>Corporate budgets are forecast to underspend by (£</w:t>
      </w:r>
      <w:r w:rsidR="00AC66C5">
        <w:t>1.401</w:t>
      </w:r>
      <w:r w:rsidRPr="00333BD7">
        <w:t xml:space="preserve">m). This </w:t>
      </w:r>
      <w:r>
        <w:t>underspend</w:t>
      </w:r>
      <w:r w:rsidRPr="00333BD7">
        <w:t xml:space="preserve"> include</w:t>
      </w:r>
      <w:r>
        <w:t>s</w:t>
      </w:r>
      <w:r w:rsidRPr="00333BD7">
        <w:t xml:space="preserve"> unallocated inflation budgets, other contingencies and grants</w:t>
      </w:r>
      <w:r>
        <w:t>.</w:t>
      </w:r>
      <w:r w:rsidR="00A23F65">
        <w:t xml:space="preserve"> The council </w:t>
      </w:r>
      <w:r w:rsidR="00AC66C5">
        <w:t xml:space="preserve">has also </w:t>
      </w:r>
      <w:r w:rsidR="00A53BFE" w:rsidRPr="00A53BFE">
        <w:t>receive</w:t>
      </w:r>
      <w:r w:rsidR="00AC66C5">
        <w:t>d</w:t>
      </w:r>
      <w:r w:rsidR="00A53BFE" w:rsidRPr="00A53BFE">
        <w:t xml:space="preserve"> one off income of (£834k) </w:t>
      </w:r>
      <w:r w:rsidR="00AC66C5">
        <w:t>after the budget was set in February</w:t>
      </w:r>
      <w:r w:rsidR="00F92234">
        <w:t xml:space="preserve"> 2017</w:t>
      </w:r>
      <w:r w:rsidR="00AC66C5">
        <w:t>.</w:t>
      </w:r>
    </w:p>
    <w:p w14:paraId="64600033" w14:textId="77777777" w:rsidR="00A23F65" w:rsidRPr="0032259C" w:rsidRDefault="00A23F65" w:rsidP="00BB0A57">
      <w:pPr>
        <w:pStyle w:val="ListParagraph"/>
        <w:spacing w:after="120"/>
        <w:ind w:left="709"/>
        <w:jc w:val="both"/>
        <w:rPr>
          <w:bCs/>
        </w:rPr>
      </w:pPr>
    </w:p>
    <w:p w14:paraId="474FC3D5" w14:textId="2F99F806" w:rsidR="005A6DF0" w:rsidRPr="00404B4F" w:rsidRDefault="005A6DF0" w:rsidP="00404B4F">
      <w:pPr>
        <w:spacing w:after="120"/>
        <w:ind w:firstLine="709"/>
        <w:jc w:val="both"/>
        <w:rPr>
          <w:b/>
          <w:bCs/>
          <w:i/>
        </w:rPr>
      </w:pPr>
      <w:r w:rsidRPr="00404B4F">
        <w:rPr>
          <w:b/>
          <w:bCs/>
          <w:i/>
        </w:rPr>
        <w:t>SPENDING CONTROL FREEZE</w:t>
      </w:r>
    </w:p>
    <w:p w14:paraId="29D03B9D" w14:textId="7F692A5D" w:rsidR="003E0B7C" w:rsidRDefault="005A6DF0" w:rsidP="00404B4F">
      <w:pPr>
        <w:pStyle w:val="ListParagraph"/>
        <w:numPr>
          <w:ilvl w:val="1"/>
          <w:numId w:val="76"/>
        </w:numPr>
        <w:spacing w:after="120"/>
        <w:ind w:hanging="749"/>
        <w:jc w:val="both"/>
        <w:rPr>
          <w:bCs/>
        </w:rPr>
      </w:pPr>
      <w:r>
        <w:rPr>
          <w:bCs/>
        </w:rPr>
        <w:t xml:space="preserve">In Period </w:t>
      </w:r>
      <w:r w:rsidRPr="005A6DF0">
        <w:rPr>
          <w:bCs/>
        </w:rPr>
        <w:t xml:space="preserve">2, a balanced position was reported after </w:t>
      </w:r>
      <w:r w:rsidR="00934BDE">
        <w:rPr>
          <w:bCs/>
        </w:rPr>
        <w:t xml:space="preserve">proposing </w:t>
      </w:r>
      <w:r w:rsidR="00F92234">
        <w:rPr>
          <w:bCs/>
        </w:rPr>
        <w:t>a £</w:t>
      </w:r>
      <w:r w:rsidR="00AC66C5">
        <w:rPr>
          <w:bCs/>
        </w:rPr>
        <w:t>1.5m spending control and Spending F</w:t>
      </w:r>
      <w:r w:rsidRPr="005A6DF0">
        <w:rPr>
          <w:bCs/>
        </w:rPr>
        <w:t xml:space="preserve">reeze </w:t>
      </w:r>
      <w:r w:rsidR="003E0B7C" w:rsidRPr="005A6DF0">
        <w:rPr>
          <w:bCs/>
        </w:rPr>
        <w:t>contribution across</w:t>
      </w:r>
      <w:r w:rsidRPr="005A6DF0">
        <w:rPr>
          <w:bCs/>
        </w:rPr>
        <w:t xml:space="preserve"> the </w:t>
      </w:r>
      <w:r w:rsidR="00F92234">
        <w:rPr>
          <w:bCs/>
        </w:rPr>
        <w:t>D</w:t>
      </w:r>
      <w:r w:rsidRPr="005A6DF0">
        <w:rPr>
          <w:bCs/>
        </w:rPr>
        <w:t>irectorate</w:t>
      </w:r>
      <w:r w:rsidR="00F92234">
        <w:rPr>
          <w:bCs/>
        </w:rPr>
        <w:t>s</w:t>
      </w:r>
      <w:r w:rsidRPr="005A6DF0">
        <w:rPr>
          <w:bCs/>
        </w:rPr>
        <w:t>.</w:t>
      </w:r>
    </w:p>
    <w:p w14:paraId="5D72C33D" w14:textId="3D20CB1B" w:rsidR="003E0B7C" w:rsidRDefault="00934BDE" w:rsidP="00404B4F">
      <w:pPr>
        <w:pStyle w:val="ListParagraph"/>
        <w:numPr>
          <w:ilvl w:val="1"/>
          <w:numId w:val="76"/>
        </w:numPr>
        <w:spacing w:after="120"/>
        <w:ind w:left="709" w:hanging="709"/>
        <w:jc w:val="both"/>
        <w:rPr>
          <w:bCs/>
        </w:rPr>
      </w:pPr>
      <w:r>
        <w:rPr>
          <w:bCs/>
        </w:rPr>
        <w:t>F</w:t>
      </w:r>
      <w:r w:rsidR="005A6DF0" w:rsidRPr="00934BDE">
        <w:rPr>
          <w:bCs/>
        </w:rPr>
        <w:t xml:space="preserve">urther work has </w:t>
      </w:r>
      <w:r>
        <w:rPr>
          <w:bCs/>
        </w:rPr>
        <w:t>now been</w:t>
      </w:r>
      <w:r w:rsidR="005A6DF0" w:rsidRPr="00934BDE">
        <w:rPr>
          <w:bCs/>
        </w:rPr>
        <w:t xml:space="preserve"> done </w:t>
      </w:r>
      <w:r>
        <w:rPr>
          <w:bCs/>
        </w:rPr>
        <w:t xml:space="preserve">on this </w:t>
      </w:r>
      <w:r w:rsidR="00E8374A" w:rsidRPr="00934BDE">
        <w:rPr>
          <w:bCs/>
        </w:rPr>
        <w:t>proposal</w:t>
      </w:r>
      <w:r w:rsidR="00E8374A">
        <w:rPr>
          <w:bCs/>
        </w:rPr>
        <w:t>;</w:t>
      </w:r>
      <w:r>
        <w:rPr>
          <w:bCs/>
        </w:rPr>
        <w:t xml:space="preserve"> </w:t>
      </w:r>
      <w:r w:rsidR="003E0B7C" w:rsidRPr="00934BDE">
        <w:rPr>
          <w:bCs/>
        </w:rPr>
        <w:t xml:space="preserve">a total of </w:t>
      </w:r>
      <w:r w:rsidR="006C2029">
        <w:rPr>
          <w:bCs/>
        </w:rPr>
        <w:t>(</w:t>
      </w:r>
      <w:r w:rsidR="003E0B7C" w:rsidRPr="00934BDE">
        <w:rPr>
          <w:bCs/>
        </w:rPr>
        <w:t>£1.</w:t>
      </w:r>
      <w:r w:rsidR="00CF462D">
        <w:rPr>
          <w:bCs/>
        </w:rPr>
        <w:t>325</w:t>
      </w:r>
      <w:r w:rsidR="005A6DF0" w:rsidRPr="00934BDE">
        <w:rPr>
          <w:bCs/>
        </w:rPr>
        <w:t>m</w:t>
      </w:r>
      <w:r w:rsidR="006C2029">
        <w:rPr>
          <w:bCs/>
        </w:rPr>
        <w:t>)</w:t>
      </w:r>
      <w:r w:rsidR="005A6DF0" w:rsidRPr="00934BDE">
        <w:rPr>
          <w:bCs/>
        </w:rPr>
        <w:t xml:space="preserve"> ha</w:t>
      </w:r>
      <w:r w:rsidR="00F92234">
        <w:rPr>
          <w:bCs/>
        </w:rPr>
        <w:t>s</w:t>
      </w:r>
      <w:r w:rsidR="005A6DF0" w:rsidRPr="00934BDE">
        <w:rPr>
          <w:bCs/>
        </w:rPr>
        <w:t xml:space="preserve"> been identified</w:t>
      </w:r>
      <w:r w:rsidR="008B4ED0">
        <w:rPr>
          <w:bCs/>
        </w:rPr>
        <w:t xml:space="preserve"> </w:t>
      </w:r>
      <w:r>
        <w:rPr>
          <w:bCs/>
        </w:rPr>
        <w:t>across the directorate</w:t>
      </w:r>
      <w:r w:rsidR="00F92234">
        <w:rPr>
          <w:bCs/>
        </w:rPr>
        <w:t>s</w:t>
      </w:r>
      <w:r>
        <w:rPr>
          <w:bCs/>
        </w:rPr>
        <w:t xml:space="preserve"> </w:t>
      </w:r>
      <w:r w:rsidR="005A6DF0" w:rsidRPr="00934BDE">
        <w:rPr>
          <w:bCs/>
        </w:rPr>
        <w:t>as the amount that</w:t>
      </w:r>
      <w:r>
        <w:rPr>
          <w:bCs/>
        </w:rPr>
        <w:t xml:space="preserve"> </w:t>
      </w:r>
      <w:r w:rsidR="005A6DF0" w:rsidRPr="00934BDE">
        <w:rPr>
          <w:bCs/>
        </w:rPr>
        <w:t>directorate</w:t>
      </w:r>
      <w:r w:rsidR="008B4ED0">
        <w:rPr>
          <w:bCs/>
        </w:rPr>
        <w:t>s</w:t>
      </w:r>
      <w:r w:rsidR="005A6DF0" w:rsidRPr="00934BDE">
        <w:rPr>
          <w:bCs/>
        </w:rPr>
        <w:t xml:space="preserve"> are able to contribute towards the spending control</w:t>
      </w:r>
      <w:r w:rsidR="00D63B83">
        <w:rPr>
          <w:bCs/>
        </w:rPr>
        <w:t>s</w:t>
      </w:r>
      <w:r w:rsidR="00E77B2E">
        <w:rPr>
          <w:bCs/>
        </w:rPr>
        <w:t xml:space="preserve"> and Children’s services position has improved by (£549k).</w:t>
      </w:r>
      <w:r w:rsidR="005A6DF0" w:rsidRPr="00934BDE">
        <w:rPr>
          <w:bCs/>
        </w:rPr>
        <w:t xml:space="preserve"> </w:t>
      </w:r>
    </w:p>
    <w:p w14:paraId="4D6A0705" w14:textId="1798258F" w:rsidR="005A6DF0" w:rsidRPr="0032259C" w:rsidRDefault="00754A97" w:rsidP="00404B4F">
      <w:pPr>
        <w:pStyle w:val="ListParagraph"/>
        <w:numPr>
          <w:ilvl w:val="1"/>
          <w:numId w:val="50"/>
        </w:numPr>
        <w:spacing w:after="120"/>
        <w:ind w:left="709" w:hanging="567"/>
        <w:jc w:val="both"/>
        <w:rPr>
          <w:bCs/>
        </w:rPr>
      </w:pPr>
      <w:r>
        <w:rPr>
          <w:bCs/>
        </w:rPr>
        <w:t>T</w:t>
      </w:r>
      <w:r w:rsidR="00A23F65">
        <w:rPr>
          <w:bCs/>
        </w:rPr>
        <w:t xml:space="preserve">able </w:t>
      </w:r>
      <w:r>
        <w:rPr>
          <w:bCs/>
        </w:rPr>
        <w:t xml:space="preserve">7 </w:t>
      </w:r>
      <w:r w:rsidR="00A23F65">
        <w:rPr>
          <w:bCs/>
        </w:rPr>
        <w:t xml:space="preserve">below </w:t>
      </w:r>
      <w:r>
        <w:rPr>
          <w:bCs/>
        </w:rPr>
        <w:t xml:space="preserve">shows the </w:t>
      </w:r>
      <w:r w:rsidR="00A23F65">
        <w:rPr>
          <w:bCs/>
        </w:rPr>
        <w:t xml:space="preserve">breakdown of </w:t>
      </w:r>
      <w:r w:rsidR="00CF462D">
        <w:rPr>
          <w:bCs/>
        </w:rPr>
        <w:t>the £1.3</w:t>
      </w:r>
      <w:r w:rsidR="00A23F65">
        <w:rPr>
          <w:bCs/>
        </w:rPr>
        <w:t xml:space="preserve">25m by directorate. </w:t>
      </w:r>
    </w:p>
    <w:p w14:paraId="058D2283" w14:textId="77777777" w:rsidR="00D63B83" w:rsidRDefault="00D63B83" w:rsidP="00BB0A57">
      <w:pPr>
        <w:pStyle w:val="ListParagraph"/>
        <w:spacing w:after="120"/>
        <w:ind w:left="709"/>
        <w:jc w:val="both"/>
        <w:rPr>
          <w:b/>
          <w:bCs/>
          <w:u w:val="single"/>
        </w:rPr>
      </w:pPr>
    </w:p>
    <w:p w14:paraId="6F735634" w14:textId="77777777" w:rsidR="009718B5" w:rsidRDefault="009718B5" w:rsidP="00BB0A57">
      <w:pPr>
        <w:pStyle w:val="ListParagraph"/>
        <w:spacing w:after="120"/>
        <w:ind w:left="709"/>
        <w:jc w:val="both"/>
        <w:rPr>
          <w:b/>
          <w:bCs/>
          <w:u w:val="single"/>
        </w:rPr>
      </w:pPr>
    </w:p>
    <w:p w14:paraId="36BEF922" w14:textId="77777777" w:rsidR="009718B5" w:rsidRDefault="009718B5" w:rsidP="00BB0A57">
      <w:pPr>
        <w:pStyle w:val="ListParagraph"/>
        <w:spacing w:after="120"/>
        <w:ind w:left="709"/>
        <w:jc w:val="both"/>
        <w:rPr>
          <w:b/>
          <w:bCs/>
          <w:u w:val="single"/>
        </w:rPr>
      </w:pPr>
    </w:p>
    <w:p w14:paraId="57686AF0" w14:textId="77777777" w:rsidR="009718B5" w:rsidRDefault="009718B5" w:rsidP="00BB0A57">
      <w:pPr>
        <w:pStyle w:val="ListParagraph"/>
        <w:spacing w:after="120"/>
        <w:ind w:left="709"/>
        <w:jc w:val="both"/>
        <w:rPr>
          <w:b/>
          <w:bCs/>
          <w:u w:val="single"/>
        </w:rPr>
      </w:pPr>
    </w:p>
    <w:p w14:paraId="5BDB4E01" w14:textId="77777777" w:rsidR="009718B5" w:rsidRDefault="009718B5" w:rsidP="00BB0A57">
      <w:pPr>
        <w:pStyle w:val="ListParagraph"/>
        <w:spacing w:after="120"/>
        <w:ind w:left="709"/>
        <w:jc w:val="both"/>
        <w:rPr>
          <w:b/>
          <w:bCs/>
          <w:u w:val="single"/>
        </w:rPr>
      </w:pPr>
    </w:p>
    <w:p w14:paraId="074C6DE2" w14:textId="77777777" w:rsidR="009718B5" w:rsidRDefault="009718B5" w:rsidP="00BB0A57">
      <w:pPr>
        <w:pStyle w:val="ListParagraph"/>
        <w:spacing w:after="120"/>
        <w:ind w:left="709"/>
        <w:jc w:val="both"/>
        <w:rPr>
          <w:b/>
          <w:bCs/>
          <w:u w:val="single"/>
        </w:rPr>
      </w:pPr>
    </w:p>
    <w:p w14:paraId="1A2031B3" w14:textId="77777777" w:rsidR="009718B5" w:rsidRDefault="009718B5" w:rsidP="00BB0A57">
      <w:pPr>
        <w:pStyle w:val="ListParagraph"/>
        <w:spacing w:after="120"/>
        <w:ind w:left="709"/>
        <w:jc w:val="both"/>
        <w:rPr>
          <w:b/>
          <w:bCs/>
          <w:u w:val="single"/>
        </w:rPr>
      </w:pPr>
    </w:p>
    <w:p w14:paraId="6CA04FAD" w14:textId="3E8957C8" w:rsidR="00CF462D" w:rsidRPr="00404B4F" w:rsidRDefault="00A23F65" w:rsidP="00BB0A57">
      <w:pPr>
        <w:pStyle w:val="ListParagraph"/>
        <w:spacing w:after="120"/>
        <w:ind w:left="709"/>
        <w:jc w:val="both"/>
        <w:rPr>
          <w:b/>
          <w:bCs/>
          <w:u w:val="single"/>
        </w:rPr>
      </w:pPr>
      <w:r w:rsidRPr="00404B4F">
        <w:rPr>
          <w:b/>
          <w:bCs/>
          <w:u w:val="single"/>
        </w:rPr>
        <w:lastRenderedPageBreak/>
        <w:t>Table 7</w:t>
      </w:r>
      <w:r w:rsidR="00AC0A97" w:rsidRPr="00404B4F">
        <w:rPr>
          <w:b/>
          <w:bCs/>
          <w:u w:val="single"/>
        </w:rPr>
        <w:t>:</w:t>
      </w:r>
      <w:r w:rsidR="00CF462D" w:rsidRPr="00404B4F">
        <w:rPr>
          <w:b/>
          <w:bCs/>
          <w:u w:val="single"/>
        </w:rPr>
        <w:t xml:space="preserve"> Spending Control Freeze</w:t>
      </w:r>
    </w:p>
    <w:p w14:paraId="533BD3C9" w14:textId="510235E4" w:rsidR="00CF462D" w:rsidRPr="00BB0A57" w:rsidRDefault="00E77B2E" w:rsidP="00BB0A57">
      <w:pPr>
        <w:pStyle w:val="ListParagraph"/>
        <w:spacing w:after="120"/>
        <w:ind w:left="709"/>
        <w:jc w:val="both"/>
        <w:rPr>
          <w:bCs/>
          <w:u w:val="single"/>
        </w:rPr>
      </w:pPr>
      <w:r w:rsidRPr="00E77B2E">
        <w:rPr>
          <w:noProof/>
          <w:lang w:eastAsia="en-GB"/>
        </w:rPr>
        <w:drawing>
          <wp:inline distT="0" distB="0" distL="0" distR="0" wp14:anchorId="480087CC" wp14:editId="225C2BE1">
            <wp:extent cx="3734873" cy="232463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735070" cy="2324760"/>
                    </a:xfrm>
                    <a:prstGeom prst="rect">
                      <a:avLst/>
                    </a:prstGeom>
                    <a:noFill/>
                    <a:ln>
                      <a:noFill/>
                    </a:ln>
                  </pic:spPr>
                </pic:pic>
              </a:graphicData>
            </a:graphic>
          </wp:inline>
        </w:drawing>
      </w:r>
    </w:p>
    <w:p w14:paraId="58233814" w14:textId="35B03F64" w:rsidR="005A6DF0" w:rsidRDefault="005A6DF0" w:rsidP="00E07305">
      <w:pPr>
        <w:rPr>
          <w:bCs/>
        </w:rPr>
      </w:pPr>
    </w:p>
    <w:p w14:paraId="76EAD78E" w14:textId="77777777" w:rsidR="00A23F65" w:rsidRDefault="00A23F65" w:rsidP="00BB0A57"/>
    <w:p w14:paraId="3777B8D6" w14:textId="77777777" w:rsidR="00333BD7" w:rsidRPr="00404B4F" w:rsidRDefault="00333BD7" w:rsidP="007A5EAC">
      <w:pPr>
        <w:pStyle w:val="Heading4"/>
        <w:spacing w:after="240"/>
        <w:ind w:left="709"/>
        <w:jc w:val="both"/>
        <w:rPr>
          <w:u w:val="single"/>
        </w:rPr>
      </w:pPr>
      <w:r w:rsidRPr="00404B4F">
        <w:rPr>
          <w:u w:val="single"/>
        </w:rPr>
        <w:t>CONTINGENCIES AND RESERVES</w:t>
      </w:r>
    </w:p>
    <w:p w14:paraId="15793715" w14:textId="77777777" w:rsidR="002C4256" w:rsidRDefault="00333BD7" w:rsidP="00404B4F">
      <w:pPr>
        <w:pStyle w:val="ListParagraph"/>
        <w:numPr>
          <w:ilvl w:val="1"/>
          <w:numId w:val="50"/>
        </w:numPr>
        <w:spacing w:after="120"/>
        <w:ind w:left="709" w:hanging="567"/>
        <w:jc w:val="both"/>
        <w:rPr>
          <w:bCs/>
        </w:rPr>
      </w:pPr>
      <w:r w:rsidRPr="00333BD7">
        <w:rPr>
          <w:bCs/>
        </w:rPr>
        <w:t xml:space="preserve">The contingencies exist to cover unavoidable pressures together with other unforeseen items and spending pressures and to cover areas of risk and uncertainty.  </w:t>
      </w:r>
    </w:p>
    <w:p w14:paraId="4AD2FDE7" w14:textId="0C6CFEB6" w:rsidR="00A95580" w:rsidRDefault="002C4256" w:rsidP="00BB0A57">
      <w:pPr>
        <w:pStyle w:val="ListParagraph"/>
        <w:spacing w:after="120"/>
        <w:ind w:left="709"/>
        <w:jc w:val="both"/>
        <w:rPr>
          <w:bCs/>
        </w:rPr>
      </w:pPr>
      <w:r>
        <w:rPr>
          <w:bCs/>
        </w:rPr>
        <w:t xml:space="preserve">The contingency </w:t>
      </w:r>
      <w:r w:rsidR="00A43443">
        <w:rPr>
          <w:bCs/>
        </w:rPr>
        <w:t xml:space="preserve">for unforeseen items </w:t>
      </w:r>
      <w:r w:rsidR="00D54B98">
        <w:rPr>
          <w:bCs/>
        </w:rPr>
        <w:t>of £</w:t>
      </w:r>
      <w:r>
        <w:rPr>
          <w:bCs/>
        </w:rPr>
        <w:t xml:space="preserve">1.248m </w:t>
      </w:r>
      <w:r w:rsidR="00D54B98">
        <w:rPr>
          <w:bCs/>
        </w:rPr>
        <w:t>is assumed</w:t>
      </w:r>
      <w:r>
        <w:rPr>
          <w:bCs/>
        </w:rPr>
        <w:t xml:space="preserve"> to be used </w:t>
      </w:r>
      <w:r w:rsidR="00A43443">
        <w:rPr>
          <w:bCs/>
        </w:rPr>
        <w:t xml:space="preserve">in full </w:t>
      </w:r>
      <w:r w:rsidR="00F865BD">
        <w:rPr>
          <w:bCs/>
        </w:rPr>
        <w:t xml:space="preserve">for </w:t>
      </w:r>
      <w:r>
        <w:rPr>
          <w:bCs/>
        </w:rPr>
        <w:t>Pinner Wood School</w:t>
      </w:r>
      <w:r w:rsidR="007018B5">
        <w:rPr>
          <w:bCs/>
        </w:rPr>
        <w:t>.</w:t>
      </w:r>
      <w:r w:rsidR="003532CD">
        <w:rPr>
          <w:bCs/>
        </w:rPr>
        <w:t xml:space="preserve"> </w:t>
      </w:r>
    </w:p>
    <w:p w14:paraId="516364FA" w14:textId="40CCD625" w:rsidR="006C2029" w:rsidRPr="00404B4F" w:rsidRDefault="00333BD7" w:rsidP="00404B4F">
      <w:pPr>
        <w:pStyle w:val="ListParagraph"/>
        <w:numPr>
          <w:ilvl w:val="1"/>
          <w:numId w:val="56"/>
        </w:numPr>
        <w:spacing w:after="120"/>
        <w:ind w:left="709" w:hanging="567"/>
        <w:jc w:val="both"/>
        <w:rPr>
          <w:b/>
          <w:u w:val="single"/>
        </w:rPr>
      </w:pPr>
      <w:r w:rsidRPr="00E07305">
        <w:rPr>
          <w:bCs/>
        </w:rPr>
        <w:t xml:space="preserve">There are also a number of specific reserves for a variety of purposes as identified in table </w:t>
      </w:r>
      <w:r w:rsidR="002310F3" w:rsidRPr="00E07305">
        <w:rPr>
          <w:bCs/>
        </w:rPr>
        <w:t>8</w:t>
      </w:r>
      <w:r w:rsidRPr="00E07305">
        <w:rPr>
          <w:bCs/>
        </w:rPr>
        <w:t xml:space="preserve"> below</w:t>
      </w:r>
      <w:r w:rsidR="00D63B83">
        <w:rPr>
          <w:bCs/>
        </w:rPr>
        <w:t>:</w:t>
      </w:r>
    </w:p>
    <w:p w14:paraId="0543ED2A" w14:textId="374A7578" w:rsidR="00333BD7" w:rsidRDefault="00333BD7" w:rsidP="007A5EAC">
      <w:pPr>
        <w:ind w:left="567"/>
        <w:jc w:val="both"/>
        <w:rPr>
          <w:b/>
          <w:u w:val="single"/>
        </w:rPr>
      </w:pPr>
      <w:r w:rsidRPr="00DA28B8">
        <w:rPr>
          <w:b/>
          <w:u w:val="single"/>
        </w:rPr>
        <w:t xml:space="preserve">Table </w:t>
      </w:r>
      <w:r w:rsidR="00BC12ED">
        <w:rPr>
          <w:b/>
          <w:u w:val="single"/>
        </w:rPr>
        <w:t>8</w:t>
      </w:r>
      <w:r w:rsidR="00AC0A97">
        <w:rPr>
          <w:b/>
          <w:u w:val="single"/>
        </w:rPr>
        <w:t>:</w:t>
      </w:r>
      <w:r w:rsidRPr="00DA28B8">
        <w:rPr>
          <w:b/>
          <w:u w:val="single"/>
        </w:rPr>
        <w:t xml:space="preserve"> Contingencies and Earmarked Reserves</w:t>
      </w:r>
    </w:p>
    <w:p w14:paraId="5F47CB00" w14:textId="516CC336" w:rsidR="00333BD7" w:rsidRPr="00DA28B8" w:rsidRDefault="00AE4D79" w:rsidP="007A5EAC">
      <w:pPr>
        <w:ind w:left="567"/>
        <w:jc w:val="both"/>
        <w:rPr>
          <w:b/>
          <w:u w:val="single"/>
        </w:rPr>
      </w:pPr>
      <w:r w:rsidRPr="00AE4D79">
        <w:rPr>
          <w:noProof/>
          <w:lang w:eastAsia="en-GB"/>
        </w:rPr>
        <w:drawing>
          <wp:inline distT="0" distB="0" distL="0" distR="0" wp14:anchorId="34F8882E" wp14:editId="0555608B">
            <wp:extent cx="5158105" cy="1803439"/>
            <wp:effectExtent l="0" t="0" r="4445"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158105" cy="1803439"/>
                    </a:xfrm>
                    <a:prstGeom prst="rect">
                      <a:avLst/>
                    </a:prstGeom>
                    <a:noFill/>
                    <a:ln>
                      <a:noFill/>
                    </a:ln>
                  </pic:spPr>
                </pic:pic>
              </a:graphicData>
            </a:graphic>
          </wp:inline>
        </w:drawing>
      </w:r>
    </w:p>
    <w:p w14:paraId="7319B2E7" w14:textId="77777777" w:rsidR="00A53BFE" w:rsidRDefault="00A53BFE" w:rsidP="00333BD7">
      <w:pPr>
        <w:pStyle w:val="ListParagraph"/>
        <w:spacing w:after="120"/>
        <w:ind w:left="142"/>
        <w:jc w:val="both"/>
        <w:rPr>
          <w:bCs/>
        </w:rPr>
      </w:pPr>
    </w:p>
    <w:p w14:paraId="3BF1419A" w14:textId="316E8A30" w:rsidR="00A53BFE" w:rsidRPr="00BB0A57" w:rsidRDefault="00A53BFE" w:rsidP="00BB0A57">
      <w:pPr>
        <w:pStyle w:val="ListParagraph"/>
        <w:spacing w:after="120"/>
        <w:ind w:left="142" w:firstLine="425"/>
        <w:jc w:val="both"/>
        <w:rPr>
          <w:b/>
          <w:bCs/>
          <w:u w:val="single"/>
        </w:rPr>
      </w:pPr>
      <w:r w:rsidRPr="00BB0A57">
        <w:rPr>
          <w:b/>
          <w:bCs/>
          <w:u w:val="single"/>
        </w:rPr>
        <w:t>MTFS IMPLEMENTATION TRACKER</w:t>
      </w:r>
    </w:p>
    <w:p w14:paraId="2BDBE986" w14:textId="77777777" w:rsidR="006550F5" w:rsidRPr="00A7359D" w:rsidRDefault="00A53BFE" w:rsidP="00404B4F">
      <w:pPr>
        <w:pStyle w:val="ListParagraph"/>
        <w:numPr>
          <w:ilvl w:val="0"/>
          <w:numId w:val="86"/>
        </w:numPr>
        <w:spacing w:after="120"/>
        <w:ind w:left="709" w:hanging="567"/>
        <w:jc w:val="both"/>
        <w:rPr>
          <w:bCs/>
        </w:rPr>
      </w:pPr>
      <w:r w:rsidRPr="008815D5">
        <w:rPr>
          <w:bCs/>
        </w:rPr>
        <w:t xml:space="preserve">The 2017/18 budget includes approved MTFS savings of </w:t>
      </w:r>
      <w:r w:rsidRPr="0042378A">
        <w:rPr>
          <w:bCs/>
        </w:rPr>
        <w:t>£10.242m.  The progress on impleme</w:t>
      </w:r>
      <w:r w:rsidR="00A23F65">
        <w:rPr>
          <w:bCs/>
        </w:rPr>
        <w:t>ntation is summarised in table 9</w:t>
      </w:r>
      <w:r w:rsidRPr="0042378A">
        <w:rPr>
          <w:bCs/>
        </w:rPr>
        <w:t xml:space="preserve"> below </w:t>
      </w:r>
      <w:r w:rsidRPr="0032259C">
        <w:rPr>
          <w:bCs/>
        </w:rPr>
        <w:t>and sh</w:t>
      </w:r>
      <w:r w:rsidR="00A23F65">
        <w:rPr>
          <w:bCs/>
        </w:rPr>
        <w:t>own in more detail in Appendix 2</w:t>
      </w:r>
      <w:r w:rsidRPr="0032259C">
        <w:rPr>
          <w:bCs/>
        </w:rPr>
        <w:t>.</w:t>
      </w:r>
      <w:r w:rsidR="006550F5" w:rsidRPr="006550F5">
        <w:t xml:space="preserve"> </w:t>
      </w:r>
    </w:p>
    <w:p w14:paraId="2E5C583E" w14:textId="0D402CBA" w:rsidR="006550F5" w:rsidRDefault="006550F5" w:rsidP="00404B4F">
      <w:pPr>
        <w:pStyle w:val="ListParagraph"/>
        <w:numPr>
          <w:ilvl w:val="0"/>
          <w:numId w:val="86"/>
        </w:numPr>
        <w:spacing w:after="120"/>
        <w:ind w:left="709" w:hanging="567"/>
        <w:jc w:val="both"/>
        <w:rPr>
          <w:bCs/>
        </w:rPr>
      </w:pPr>
      <w:r w:rsidRPr="006550F5">
        <w:rPr>
          <w:bCs/>
        </w:rPr>
        <w:t xml:space="preserve">As at the end of Quarter 1, </w:t>
      </w:r>
      <w:r>
        <w:rPr>
          <w:bCs/>
        </w:rPr>
        <w:t>13</w:t>
      </w:r>
      <w:r w:rsidRPr="006550F5">
        <w:rPr>
          <w:bCs/>
        </w:rPr>
        <w:t>% of savings have alread</w:t>
      </w:r>
      <w:r>
        <w:rPr>
          <w:bCs/>
        </w:rPr>
        <w:t>y been banked (blue savings), 74</w:t>
      </w:r>
      <w:r w:rsidRPr="006550F5">
        <w:rPr>
          <w:bCs/>
        </w:rPr>
        <w:t xml:space="preserve">% of savings (green and amber) are on track or partially achieved, with </w:t>
      </w:r>
      <w:r>
        <w:rPr>
          <w:bCs/>
        </w:rPr>
        <w:t>13</w:t>
      </w:r>
      <w:r w:rsidRPr="006550F5">
        <w:rPr>
          <w:bCs/>
        </w:rPr>
        <w:t>% of savings being declared as red.</w:t>
      </w:r>
    </w:p>
    <w:p w14:paraId="0457A83E" w14:textId="77777777" w:rsidR="00BF447F" w:rsidRDefault="00BF447F" w:rsidP="00BB0A57">
      <w:pPr>
        <w:pStyle w:val="ListParagraph"/>
        <w:spacing w:after="120"/>
        <w:ind w:left="709"/>
        <w:jc w:val="both"/>
        <w:rPr>
          <w:b/>
          <w:bCs/>
          <w:u w:val="single"/>
        </w:rPr>
      </w:pPr>
    </w:p>
    <w:p w14:paraId="31DDF2E5" w14:textId="77777777" w:rsidR="00BF447F" w:rsidRDefault="00BF447F" w:rsidP="00BB0A57">
      <w:pPr>
        <w:pStyle w:val="ListParagraph"/>
        <w:spacing w:after="120"/>
        <w:ind w:left="709"/>
        <w:jc w:val="both"/>
        <w:rPr>
          <w:b/>
          <w:bCs/>
          <w:u w:val="single"/>
        </w:rPr>
      </w:pPr>
    </w:p>
    <w:p w14:paraId="454E1D13" w14:textId="4EFD89D1" w:rsidR="003D73B6" w:rsidRPr="00BB0A57" w:rsidRDefault="006550F5" w:rsidP="00BB0A57">
      <w:pPr>
        <w:pStyle w:val="ListParagraph"/>
        <w:spacing w:after="120"/>
        <w:ind w:left="709"/>
        <w:jc w:val="both"/>
        <w:rPr>
          <w:b/>
          <w:bCs/>
          <w:u w:val="single"/>
        </w:rPr>
      </w:pPr>
      <w:r>
        <w:rPr>
          <w:b/>
          <w:bCs/>
          <w:u w:val="single"/>
        </w:rPr>
        <w:lastRenderedPageBreak/>
        <w:t>T</w:t>
      </w:r>
      <w:r w:rsidR="003D73B6" w:rsidRPr="00BB0A57">
        <w:rPr>
          <w:b/>
          <w:bCs/>
          <w:u w:val="single"/>
        </w:rPr>
        <w:t xml:space="preserve">able </w:t>
      </w:r>
      <w:r w:rsidR="00A23F65">
        <w:rPr>
          <w:b/>
          <w:bCs/>
          <w:u w:val="single"/>
        </w:rPr>
        <w:t>9</w:t>
      </w:r>
      <w:r w:rsidR="00D63B83">
        <w:rPr>
          <w:b/>
          <w:bCs/>
          <w:u w:val="single"/>
        </w:rPr>
        <w:t>:</w:t>
      </w:r>
      <w:r w:rsidR="003D73B6" w:rsidRPr="00BB0A57">
        <w:rPr>
          <w:b/>
          <w:bCs/>
          <w:u w:val="single"/>
        </w:rPr>
        <w:t xml:space="preserve"> RAG Rating of 2017/18 Savings</w:t>
      </w:r>
    </w:p>
    <w:p w14:paraId="5D9CE023" w14:textId="471A830F" w:rsidR="003D73B6" w:rsidRDefault="00BA72FE" w:rsidP="00BB0A57">
      <w:pPr>
        <w:pStyle w:val="ListParagraph"/>
        <w:spacing w:after="120"/>
        <w:ind w:left="709"/>
        <w:jc w:val="both"/>
        <w:rPr>
          <w:bCs/>
        </w:rPr>
      </w:pPr>
      <w:r w:rsidRPr="00BA72FE">
        <w:rPr>
          <w:noProof/>
          <w:lang w:eastAsia="en-GB"/>
        </w:rPr>
        <w:drawing>
          <wp:inline distT="0" distB="0" distL="0" distR="0" wp14:anchorId="38CCE388" wp14:editId="2F7C39D0">
            <wp:extent cx="5151549" cy="1010991"/>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158105" cy="1012278"/>
                    </a:xfrm>
                    <a:prstGeom prst="rect">
                      <a:avLst/>
                    </a:prstGeom>
                    <a:noFill/>
                    <a:ln>
                      <a:noFill/>
                    </a:ln>
                  </pic:spPr>
                </pic:pic>
              </a:graphicData>
            </a:graphic>
          </wp:inline>
        </w:drawing>
      </w:r>
    </w:p>
    <w:p w14:paraId="1F559764" w14:textId="06F6CFBF" w:rsidR="003D73B6" w:rsidRDefault="003D73B6" w:rsidP="00BB0A57">
      <w:pPr>
        <w:pStyle w:val="ListParagraph"/>
        <w:spacing w:after="120"/>
        <w:ind w:left="709"/>
        <w:jc w:val="both"/>
        <w:rPr>
          <w:bCs/>
        </w:rPr>
      </w:pPr>
      <w:r>
        <w:rPr>
          <w:bCs/>
          <w:noProof/>
          <w:lang w:eastAsia="en-GB"/>
        </w:rPr>
        <w:drawing>
          <wp:inline distT="0" distB="0" distL="0" distR="0" wp14:anchorId="47C4980E" wp14:editId="454F1C20">
            <wp:extent cx="3914140" cy="73152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914140" cy="731520"/>
                    </a:xfrm>
                    <a:prstGeom prst="rect">
                      <a:avLst/>
                    </a:prstGeom>
                    <a:noFill/>
                  </pic:spPr>
                </pic:pic>
              </a:graphicData>
            </a:graphic>
          </wp:inline>
        </w:drawing>
      </w:r>
    </w:p>
    <w:p w14:paraId="2FBBAEA4" w14:textId="31615A45" w:rsidR="003D73B6" w:rsidRDefault="00754A97" w:rsidP="00404B4F">
      <w:pPr>
        <w:pStyle w:val="ListParagraph"/>
        <w:numPr>
          <w:ilvl w:val="0"/>
          <w:numId w:val="86"/>
        </w:numPr>
        <w:spacing w:after="120"/>
        <w:ind w:left="709" w:hanging="567"/>
        <w:jc w:val="both"/>
        <w:rPr>
          <w:bCs/>
        </w:rPr>
      </w:pPr>
      <w:r>
        <w:rPr>
          <w:bCs/>
        </w:rPr>
        <w:t>T</w:t>
      </w:r>
      <w:r w:rsidR="003D73B6" w:rsidRPr="003D73B6">
        <w:rPr>
          <w:bCs/>
        </w:rPr>
        <w:t>otal savings of £56k</w:t>
      </w:r>
      <w:r w:rsidR="006C2029">
        <w:rPr>
          <w:bCs/>
        </w:rPr>
        <w:t xml:space="preserve"> below</w:t>
      </w:r>
      <w:r w:rsidR="003D73B6" w:rsidRPr="003D73B6">
        <w:rPr>
          <w:bCs/>
        </w:rPr>
        <w:t xml:space="preserve"> has moved from Green to Amber</w:t>
      </w:r>
      <w:r w:rsidR="006C2029">
        <w:rPr>
          <w:bCs/>
        </w:rPr>
        <w:t>:</w:t>
      </w:r>
    </w:p>
    <w:p w14:paraId="54CED357" w14:textId="77777777" w:rsidR="003D73B6" w:rsidRPr="003D73B6" w:rsidRDefault="003D73B6" w:rsidP="003D73B6">
      <w:pPr>
        <w:pStyle w:val="ListParagraph"/>
        <w:spacing w:after="120"/>
        <w:ind w:left="709"/>
        <w:jc w:val="both"/>
        <w:rPr>
          <w:bCs/>
        </w:rPr>
      </w:pPr>
      <w:r w:rsidRPr="003D73B6">
        <w:rPr>
          <w:bCs/>
        </w:rPr>
        <w:t>•</w:t>
      </w:r>
      <w:r w:rsidRPr="003D73B6">
        <w:rPr>
          <w:bCs/>
        </w:rPr>
        <w:tab/>
        <w:t xml:space="preserve">CH_9 Property Purchase savings of £31k </w:t>
      </w:r>
    </w:p>
    <w:p w14:paraId="18596BAC" w14:textId="1D8E92B0" w:rsidR="003D73B6" w:rsidRDefault="003D73B6" w:rsidP="00BB0A57">
      <w:pPr>
        <w:pStyle w:val="ListParagraph"/>
        <w:spacing w:after="120"/>
        <w:ind w:left="709"/>
        <w:jc w:val="both"/>
        <w:rPr>
          <w:bCs/>
        </w:rPr>
      </w:pPr>
      <w:r w:rsidRPr="003D73B6">
        <w:rPr>
          <w:bCs/>
        </w:rPr>
        <w:t>•</w:t>
      </w:r>
      <w:r w:rsidRPr="003D73B6">
        <w:rPr>
          <w:bCs/>
        </w:rPr>
        <w:tab/>
        <w:t>CH_3 Supporting People savings of £25k</w:t>
      </w:r>
    </w:p>
    <w:p w14:paraId="076F6722" w14:textId="77777777" w:rsidR="00C26AEB" w:rsidRDefault="00C26AEB" w:rsidP="002A05F4">
      <w:pPr>
        <w:pStyle w:val="ListParagraph"/>
        <w:spacing w:after="120"/>
        <w:ind w:left="709"/>
        <w:jc w:val="both"/>
        <w:rPr>
          <w:bCs/>
        </w:rPr>
      </w:pPr>
    </w:p>
    <w:p w14:paraId="12DD9E4C" w14:textId="77777777" w:rsidR="00AE4D79" w:rsidRPr="00AE4D79" w:rsidRDefault="00AE4D79" w:rsidP="00AE4D79">
      <w:pPr>
        <w:spacing w:after="120"/>
        <w:jc w:val="both"/>
        <w:rPr>
          <w:b/>
          <w:bCs/>
          <w:sz w:val="28"/>
          <w:szCs w:val="28"/>
        </w:rPr>
      </w:pPr>
    </w:p>
    <w:p w14:paraId="22BCF9C8" w14:textId="77777777" w:rsidR="003D73B6" w:rsidRPr="00C424C8" w:rsidRDefault="003D73B6" w:rsidP="00C424C8">
      <w:pPr>
        <w:pStyle w:val="ListParagraph"/>
        <w:numPr>
          <w:ilvl w:val="0"/>
          <w:numId w:val="31"/>
        </w:numPr>
        <w:spacing w:after="120"/>
        <w:ind w:left="426" w:hanging="567"/>
        <w:jc w:val="both"/>
        <w:rPr>
          <w:b/>
          <w:bCs/>
          <w:sz w:val="28"/>
          <w:szCs w:val="28"/>
        </w:rPr>
      </w:pPr>
      <w:r w:rsidRPr="00BB0A57">
        <w:rPr>
          <w:b/>
          <w:bCs/>
          <w:sz w:val="28"/>
          <w:szCs w:val="28"/>
        </w:rPr>
        <w:t>CAPITAL PROGRAMME</w:t>
      </w:r>
    </w:p>
    <w:p w14:paraId="2EDA0CEF" w14:textId="186ECC79" w:rsidR="008C006C" w:rsidRPr="00BB0A57" w:rsidRDefault="003D73B6" w:rsidP="00BB0A57">
      <w:pPr>
        <w:autoSpaceDE w:val="0"/>
        <w:autoSpaceDN w:val="0"/>
        <w:adjustRightInd w:val="0"/>
        <w:spacing w:after="240"/>
        <w:ind w:firstLine="709"/>
        <w:jc w:val="both"/>
        <w:rPr>
          <w:b/>
          <w:bCs/>
        </w:rPr>
      </w:pPr>
      <w:r w:rsidRPr="00EE65BB">
        <w:rPr>
          <w:b/>
          <w:u w:val="single"/>
        </w:rPr>
        <w:t>Capital Programme Forecast at Quarter 1</w:t>
      </w:r>
    </w:p>
    <w:p w14:paraId="79DBF693" w14:textId="66A0B22A" w:rsidR="0077788D" w:rsidRDefault="00991424" w:rsidP="00BB0A57">
      <w:pPr>
        <w:pStyle w:val="ListParagraph"/>
        <w:numPr>
          <w:ilvl w:val="0"/>
          <w:numId w:val="30"/>
        </w:numPr>
        <w:spacing w:after="120"/>
        <w:ind w:left="709" w:hanging="709"/>
        <w:jc w:val="both"/>
        <w:rPr>
          <w:bCs/>
        </w:rPr>
      </w:pPr>
      <w:r w:rsidRPr="0077788D">
        <w:rPr>
          <w:bCs/>
        </w:rPr>
        <w:t>The 20</w:t>
      </w:r>
      <w:r w:rsidR="003D73B6" w:rsidRPr="0077788D">
        <w:rPr>
          <w:bCs/>
        </w:rPr>
        <w:t>17</w:t>
      </w:r>
      <w:r w:rsidRPr="0077788D">
        <w:rPr>
          <w:bCs/>
        </w:rPr>
        <w:t>/18</w:t>
      </w:r>
      <w:r w:rsidR="003D73B6" w:rsidRPr="0077788D">
        <w:rPr>
          <w:bCs/>
        </w:rPr>
        <w:t xml:space="preserve"> capital programme ag</w:t>
      </w:r>
      <w:r w:rsidRPr="0077788D">
        <w:rPr>
          <w:bCs/>
        </w:rPr>
        <w:t>reed by Council in February 201</w:t>
      </w:r>
      <w:r w:rsidR="00564FB0">
        <w:rPr>
          <w:bCs/>
        </w:rPr>
        <w:t>7</w:t>
      </w:r>
      <w:r w:rsidR="003D73B6" w:rsidRPr="0077788D">
        <w:rPr>
          <w:bCs/>
        </w:rPr>
        <w:t xml:space="preserve"> </w:t>
      </w:r>
      <w:r w:rsidRPr="0077788D">
        <w:rPr>
          <w:bCs/>
        </w:rPr>
        <w:t>totalled £143</w:t>
      </w:r>
      <w:r w:rsidR="006C2029">
        <w:rPr>
          <w:bCs/>
        </w:rPr>
        <w:t>.</w:t>
      </w:r>
      <w:r w:rsidRPr="0077788D">
        <w:rPr>
          <w:bCs/>
        </w:rPr>
        <w:t>863</w:t>
      </w:r>
      <w:r w:rsidR="003D73B6" w:rsidRPr="0077788D">
        <w:rPr>
          <w:bCs/>
        </w:rPr>
        <w:t xml:space="preserve">m.  After allowing for agreed slippage </w:t>
      </w:r>
      <w:r w:rsidR="0079572B">
        <w:rPr>
          <w:bCs/>
        </w:rPr>
        <w:t>of £76.691</w:t>
      </w:r>
      <w:r w:rsidR="006C2029">
        <w:rPr>
          <w:bCs/>
        </w:rPr>
        <w:t>m</w:t>
      </w:r>
      <w:r w:rsidR="0042378A">
        <w:rPr>
          <w:bCs/>
        </w:rPr>
        <w:t xml:space="preserve"> </w:t>
      </w:r>
      <w:r w:rsidR="003D73B6" w:rsidRPr="0077788D">
        <w:rPr>
          <w:bCs/>
        </w:rPr>
        <w:t xml:space="preserve">from </w:t>
      </w:r>
      <w:r w:rsidRPr="0077788D">
        <w:rPr>
          <w:bCs/>
        </w:rPr>
        <w:t>20</w:t>
      </w:r>
      <w:r w:rsidR="003D73B6" w:rsidRPr="0077788D">
        <w:rPr>
          <w:bCs/>
        </w:rPr>
        <w:t>16</w:t>
      </w:r>
      <w:r w:rsidRPr="0077788D">
        <w:rPr>
          <w:bCs/>
        </w:rPr>
        <w:t>/17</w:t>
      </w:r>
      <w:r w:rsidR="003D73B6" w:rsidRPr="0077788D">
        <w:rPr>
          <w:bCs/>
        </w:rPr>
        <w:t xml:space="preserve"> outturn and other approved amendments, the programme now </w:t>
      </w:r>
      <w:r w:rsidR="0008415C" w:rsidRPr="0077788D">
        <w:rPr>
          <w:bCs/>
        </w:rPr>
        <w:t>totals £222.795</w:t>
      </w:r>
      <w:r w:rsidR="003D73B6" w:rsidRPr="0077788D">
        <w:rPr>
          <w:bCs/>
        </w:rPr>
        <w:t>m at Quarter1.</w:t>
      </w:r>
    </w:p>
    <w:p w14:paraId="4A819E2D" w14:textId="3D350A26" w:rsidR="0008415C" w:rsidRPr="0077788D" w:rsidRDefault="0008415C" w:rsidP="00BB0A57">
      <w:pPr>
        <w:pStyle w:val="ListParagraph"/>
        <w:numPr>
          <w:ilvl w:val="0"/>
          <w:numId w:val="30"/>
        </w:numPr>
        <w:spacing w:after="120"/>
        <w:ind w:left="709" w:hanging="709"/>
        <w:jc w:val="both"/>
        <w:rPr>
          <w:bCs/>
        </w:rPr>
      </w:pPr>
      <w:r w:rsidRPr="0077788D">
        <w:rPr>
          <w:bCs/>
        </w:rPr>
        <w:t>The forecast spend at Quarter 1 is £1</w:t>
      </w:r>
      <w:r w:rsidR="006C2029">
        <w:rPr>
          <w:bCs/>
        </w:rPr>
        <w:t>3</w:t>
      </w:r>
      <w:r w:rsidR="001F66A0">
        <w:rPr>
          <w:bCs/>
        </w:rPr>
        <w:t>5.9</w:t>
      </w:r>
      <w:r w:rsidR="0079572B">
        <w:rPr>
          <w:bCs/>
        </w:rPr>
        <w:t>59</w:t>
      </w:r>
      <w:r w:rsidRPr="0077788D">
        <w:rPr>
          <w:bCs/>
        </w:rPr>
        <w:t xml:space="preserve">m, </w:t>
      </w:r>
      <w:r w:rsidR="001F66A0">
        <w:rPr>
          <w:bCs/>
        </w:rPr>
        <w:t>61</w:t>
      </w:r>
      <w:r w:rsidRPr="0077788D">
        <w:rPr>
          <w:bCs/>
        </w:rPr>
        <w:t>% of the total capital programme.</w:t>
      </w:r>
    </w:p>
    <w:p w14:paraId="73F1BE4F" w14:textId="23C6C170" w:rsidR="0008415C" w:rsidRDefault="0008415C" w:rsidP="00BB0A57">
      <w:pPr>
        <w:pStyle w:val="ListParagraph"/>
        <w:numPr>
          <w:ilvl w:val="0"/>
          <w:numId w:val="30"/>
        </w:numPr>
        <w:spacing w:after="120"/>
        <w:ind w:left="709" w:hanging="709"/>
        <w:jc w:val="both"/>
        <w:rPr>
          <w:bCs/>
        </w:rPr>
      </w:pPr>
      <w:r w:rsidRPr="0008415C">
        <w:rPr>
          <w:bCs/>
        </w:rPr>
        <w:t xml:space="preserve">The forecast variance on </w:t>
      </w:r>
      <w:r w:rsidR="00503705">
        <w:rPr>
          <w:bCs/>
        </w:rPr>
        <w:t>the General Fund at Quarter</w:t>
      </w:r>
      <w:r w:rsidRPr="0008415C">
        <w:rPr>
          <w:bCs/>
        </w:rPr>
        <w:t xml:space="preserve"> 1 is </w:t>
      </w:r>
      <w:proofErr w:type="gramStart"/>
      <w:r w:rsidRPr="0008415C">
        <w:rPr>
          <w:bCs/>
        </w:rPr>
        <w:t>an underspend</w:t>
      </w:r>
      <w:proofErr w:type="gramEnd"/>
      <w:r w:rsidRPr="0008415C">
        <w:rPr>
          <w:bCs/>
        </w:rPr>
        <w:t xml:space="preserve"> of £</w:t>
      </w:r>
      <w:r w:rsidR="00503705">
        <w:rPr>
          <w:bCs/>
        </w:rPr>
        <w:t>7</w:t>
      </w:r>
      <w:r w:rsidR="001F66A0">
        <w:rPr>
          <w:bCs/>
        </w:rPr>
        <w:t>5.323</w:t>
      </w:r>
      <w:r w:rsidR="0042378A">
        <w:rPr>
          <w:bCs/>
        </w:rPr>
        <w:t>m (4</w:t>
      </w:r>
      <w:r w:rsidR="001F66A0">
        <w:rPr>
          <w:bCs/>
        </w:rPr>
        <w:t>0</w:t>
      </w:r>
      <w:r w:rsidRPr="0008415C">
        <w:rPr>
          <w:bCs/>
        </w:rPr>
        <w:t xml:space="preserve">%) of </w:t>
      </w:r>
      <w:r w:rsidR="00E751D2" w:rsidRPr="0008415C">
        <w:rPr>
          <w:bCs/>
        </w:rPr>
        <w:t>which £</w:t>
      </w:r>
      <w:r w:rsidR="001F66A0">
        <w:rPr>
          <w:bCs/>
        </w:rPr>
        <w:t>57.89</w:t>
      </w:r>
      <w:r w:rsidR="009D392C">
        <w:rPr>
          <w:bCs/>
        </w:rPr>
        <w:t>8</w:t>
      </w:r>
      <w:r w:rsidRPr="0008415C">
        <w:rPr>
          <w:bCs/>
        </w:rPr>
        <w:t xml:space="preserve">m is requested for slippage into </w:t>
      </w:r>
      <w:r w:rsidR="00BE7660">
        <w:rPr>
          <w:bCs/>
        </w:rPr>
        <w:t>20</w:t>
      </w:r>
      <w:r w:rsidRPr="0008415C">
        <w:rPr>
          <w:bCs/>
        </w:rPr>
        <w:t>18</w:t>
      </w:r>
      <w:r>
        <w:rPr>
          <w:bCs/>
        </w:rPr>
        <w:t>/19</w:t>
      </w:r>
      <w:r w:rsidR="006C2029">
        <w:rPr>
          <w:bCs/>
        </w:rPr>
        <w:t xml:space="preserve">, £1m </w:t>
      </w:r>
      <w:r w:rsidR="006C2029" w:rsidRPr="006C2029">
        <w:rPr>
          <w:bCs/>
        </w:rPr>
        <w:t>reallocate</w:t>
      </w:r>
      <w:r w:rsidR="00BE7660">
        <w:rPr>
          <w:bCs/>
        </w:rPr>
        <w:t>d</w:t>
      </w:r>
      <w:r w:rsidR="006C2029" w:rsidRPr="006C2029">
        <w:rPr>
          <w:bCs/>
        </w:rPr>
        <w:t xml:space="preserve"> to other projects</w:t>
      </w:r>
      <w:r>
        <w:rPr>
          <w:bCs/>
        </w:rPr>
        <w:t xml:space="preserve"> and £</w:t>
      </w:r>
      <w:r w:rsidR="006C2029">
        <w:rPr>
          <w:bCs/>
        </w:rPr>
        <w:t>16</w:t>
      </w:r>
      <w:r w:rsidR="00503705">
        <w:rPr>
          <w:bCs/>
        </w:rPr>
        <w:t>.</w:t>
      </w:r>
      <w:r w:rsidR="00F123B5">
        <w:rPr>
          <w:bCs/>
        </w:rPr>
        <w:t>425</w:t>
      </w:r>
      <w:r w:rsidRPr="0008415C">
        <w:rPr>
          <w:bCs/>
        </w:rPr>
        <w:t>m can be removed from the Capital Programme</w:t>
      </w:r>
      <w:r>
        <w:rPr>
          <w:bCs/>
        </w:rPr>
        <w:t>.</w:t>
      </w:r>
    </w:p>
    <w:p w14:paraId="4288A4DA" w14:textId="66D385D7" w:rsidR="0008415C" w:rsidRDefault="0008415C" w:rsidP="00BB0A57">
      <w:pPr>
        <w:pStyle w:val="ListParagraph"/>
        <w:numPr>
          <w:ilvl w:val="0"/>
          <w:numId w:val="30"/>
        </w:numPr>
        <w:spacing w:after="120"/>
        <w:ind w:left="709" w:hanging="709"/>
        <w:jc w:val="both"/>
        <w:rPr>
          <w:bCs/>
        </w:rPr>
      </w:pPr>
      <w:r w:rsidRPr="0008415C">
        <w:rPr>
          <w:bCs/>
        </w:rPr>
        <w:t>The forecast variance on the H</w:t>
      </w:r>
      <w:r w:rsidR="006C2029">
        <w:rPr>
          <w:bCs/>
        </w:rPr>
        <w:t xml:space="preserve">ousing </w:t>
      </w:r>
      <w:r w:rsidRPr="0008415C">
        <w:rPr>
          <w:bCs/>
        </w:rPr>
        <w:t>R</w:t>
      </w:r>
      <w:r w:rsidR="006C2029">
        <w:rPr>
          <w:bCs/>
        </w:rPr>
        <w:t xml:space="preserve">evenue </w:t>
      </w:r>
      <w:r w:rsidRPr="0008415C">
        <w:rPr>
          <w:bCs/>
        </w:rPr>
        <w:t>A</w:t>
      </w:r>
      <w:r w:rsidR="006C2029">
        <w:rPr>
          <w:bCs/>
        </w:rPr>
        <w:t>ccount</w:t>
      </w:r>
      <w:r w:rsidRPr="0008415C">
        <w:rPr>
          <w:bCs/>
        </w:rPr>
        <w:t xml:space="preserve"> </w:t>
      </w:r>
      <w:r w:rsidR="00E751D2">
        <w:rPr>
          <w:bCs/>
        </w:rPr>
        <w:t>budget of £32.457m at Quarter 1 is £</w:t>
      </w:r>
      <w:r w:rsidR="0042378A">
        <w:rPr>
          <w:bCs/>
        </w:rPr>
        <w:t>11.513</w:t>
      </w:r>
      <w:r w:rsidR="00E751D2">
        <w:rPr>
          <w:bCs/>
        </w:rPr>
        <w:t>m, which will</w:t>
      </w:r>
      <w:r w:rsidRPr="0008415C">
        <w:rPr>
          <w:bCs/>
        </w:rPr>
        <w:t xml:space="preserve"> </w:t>
      </w:r>
      <w:r w:rsidR="0042378A" w:rsidRPr="0008415C">
        <w:rPr>
          <w:bCs/>
        </w:rPr>
        <w:t xml:space="preserve">all </w:t>
      </w:r>
      <w:r w:rsidR="0042378A">
        <w:rPr>
          <w:bCs/>
        </w:rPr>
        <w:t>be</w:t>
      </w:r>
      <w:r w:rsidR="00E751D2">
        <w:rPr>
          <w:bCs/>
        </w:rPr>
        <w:t xml:space="preserve"> slipped into 2018/19.</w:t>
      </w:r>
    </w:p>
    <w:p w14:paraId="6C259324" w14:textId="4B9E9EA6" w:rsidR="00E751D2" w:rsidRDefault="00503705" w:rsidP="00BB0A57">
      <w:pPr>
        <w:pStyle w:val="ListParagraph"/>
        <w:numPr>
          <w:ilvl w:val="0"/>
          <w:numId w:val="30"/>
        </w:numPr>
        <w:spacing w:after="120"/>
        <w:ind w:left="709" w:hanging="709"/>
        <w:jc w:val="both"/>
        <w:rPr>
          <w:bCs/>
        </w:rPr>
      </w:pPr>
      <w:r>
        <w:rPr>
          <w:bCs/>
        </w:rPr>
        <w:t>Tables 10 and 11</w:t>
      </w:r>
      <w:r w:rsidR="00E751D2" w:rsidRPr="00E751D2">
        <w:rPr>
          <w:bCs/>
        </w:rPr>
        <w:t xml:space="preserve"> below summarise the capital forecast position and Appendix 4 shows the capital programme in more detail</w:t>
      </w:r>
      <w:r w:rsidR="0042378A">
        <w:rPr>
          <w:bCs/>
        </w:rPr>
        <w:t>.</w:t>
      </w:r>
    </w:p>
    <w:p w14:paraId="566D7C7B" w14:textId="77777777" w:rsidR="001926C5" w:rsidRDefault="001926C5" w:rsidP="007A5EAC">
      <w:pPr>
        <w:pStyle w:val="ListParagraph"/>
        <w:spacing w:after="120"/>
        <w:ind w:left="709"/>
        <w:jc w:val="both"/>
        <w:rPr>
          <w:b/>
          <w:bCs/>
          <w:u w:val="single"/>
        </w:rPr>
      </w:pPr>
    </w:p>
    <w:p w14:paraId="754D3999" w14:textId="77777777" w:rsidR="009718B5" w:rsidRDefault="009718B5" w:rsidP="00BB0A57">
      <w:pPr>
        <w:spacing w:after="120"/>
        <w:jc w:val="both"/>
        <w:rPr>
          <w:b/>
          <w:bCs/>
          <w:u w:val="single"/>
        </w:rPr>
      </w:pPr>
    </w:p>
    <w:p w14:paraId="2EA78CD5" w14:textId="77777777" w:rsidR="009718B5" w:rsidRDefault="009718B5" w:rsidP="00BB0A57">
      <w:pPr>
        <w:spacing w:after="120"/>
        <w:jc w:val="both"/>
        <w:rPr>
          <w:b/>
          <w:bCs/>
          <w:u w:val="single"/>
        </w:rPr>
      </w:pPr>
    </w:p>
    <w:p w14:paraId="6CD29095" w14:textId="77777777" w:rsidR="009718B5" w:rsidRDefault="009718B5" w:rsidP="00BB0A57">
      <w:pPr>
        <w:spacing w:after="120"/>
        <w:jc w:val="both"/>
        <w:rPr>
          <w:b/>
          <w:bCs/>
          <w:u w:val="single"/>
        </w:rPr>
      </w:pPr>
    </w:p>
    <w:p w14:paraId="65018FB9" w14:textId="77777777" w:rsidR="009718B5" w:rsidRDefault="009718B5" w:rsidP="00BB0A57">
      <w:pPr>
        <w:spacing w:after="120"/>
        <w:jc w:val="both"/>
        <w:rPr>
          <w:b/>
          <w:bCs/>
          <w:u w:val="single"/>
        </w:rPr>
      </w:pPr>
    </w:p>
    <w:p w14:paraId="07F3A61E" w14:textId="77777777" w:rsidR="009718B5" w:rsidRDefault="009718B5" w:rsidP="00BB0A57">
      <w:pPr>
        <w:spacing w:after="120"/>
        <w:jc w:val="both"/>
        <w:rPr>
          <w:b/>
          <w:bCs/>
          <w:u w:val="single"/>
        </w:rPr>
      </w:pPr>
    </w:p>
    <w:p w14:paraId="293894AE" w14:textId="77777777" w:rsidR="009718B5" w:rsidRDefault="009718B5" w:rsidP="00BB0A57">
      <w:pPr>
        <w:spacing w:after="120"/>
        <w:jc w:val="both"/>
        <w:rPr>
          <w:b/>
          <w:bCs/>
          <w:u w:val="single"/>
        </w:rPr>
      </w:pPr>
    </w:p>
    <w:p w14:paraId="7AACB17F" w14:textId="77777777" w:rsidR="009718B5" w:rsidRDefault="009718B5" w:rsidP="00BB0A57">
      <w:pPr>
        <w:spacing w:after="120"/>
        <w:jc w:val="both"/>
        <w:rPr>
          <w:b/>
          <w:bCs/>
          <w:u w:val="single"/>
        </w:rPr>
      </w:pPr>
    </w:p>
    <w:p w14:paraId="4E22509E" w14:textId="77777777" w:rsidR="009718B5" w:rsidRDefault="009718B5" w:rsidP="00BB0A57">
      <w:pPr>
        <w:spacing w:after="120"/>
        <w:jc w:val="both"/>
        <w:rPr>
          <w:b/>
          <w:bCs/>
          <w:u w:val="single"/>
        </w:rPr>
      </w:pPr>
    </w:p>
    <w:p w14:paraId="49D7690F" w14:textId="421A5CD0" w:rsidR="00E10D59" w:rsidRDefault="00BC12ED" w:rsidP="00BB0A57">
      <w:pPr>
        <w:spacing w:after="120"/>
        <w:jc w:val="both"/>
        <w:rPr>
          <w:b/>
          <w:bCs/>
          <w:u w:val="single"/>
        </w:rPr>
      </w:pPr>
      <w:r w:rsidRPr="00BB0A57">
        <w:rPr>
          <w:b/>
          <w:bCs/>
          <w:u w:val="single"/>
        </w:rPr>
        <w:lastRenderedPageBreak/>
        <w:t xml:space="preserve">Table </w:t>
      </w:r>
      <w:r w:rsidR="006550F5" w:rsidRPr="00BB0A57">
        <w:rPr>
          <w:b/>
          <w:bCs/>
          <w:u w:val="single"/>
        </w:rPr>
        <w:t>10</w:t>
      </w:r>
      <w:r w:rsidR="008C006C" w:rsidRPr="00BB0A57">
        <w:rPr>
          <w:b/>
          <w:bCs/>
          <w:u w:val="single"/>
        </w:rPr>
        <w:t>: S</w:t>
      </w:r>
      <w:r w:rsidR="00E751D2" w:rsidRPr="00BB0A57">
        <w:rPr>
          <w:b/>
          <w:bCs/>
          <w:u w:val="single"/>
        </w:rPr>
        <w:t>ummary of Capital forecast by Directorate</w:t>
      </w:r>
    </w:p>
    <w:p w14:paraId="5178CD86" w14:textId="420582FF" w:rsidR="0010349E" w:rsidRPr="00BB0A57" w:rsidRDefault="0079572B" w:rsidP="00BB0A57">
      <w:pPr>
        <w:spacing w:after="120"/>
        <w:jc w:val="both"/>
        <w:rPr>
          <w:b/>
          <w:bCs/>
          <w:u w:val="single"/>
        </w:rPr>
      </w:pPr>
      <w:r w:rsidRPr="0079572B">
        <w:rPr>
          <w:noProof/>
          <w:lang w:eastAsia="en-GB"/>
        </w:rPr>
        <w:drawing>
          <wp:inline distT="0" distB="0" distL="0" distR="0" wp14:anchorId="5A95AF55" wp14:editId="5A4C98E9">
            <wp:extent cx="5155513" cy="4526924"/>
            <wp:effectExtent l="0" t="0" r="7620" b="698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158105" cy="4529200"/>
                    </a:xfrm>
                    <a:prstGeom prst="rect">
                      <a:avLst/>
                    </a:prstGeom>
                    <a:noFill/>
                    <a:ln>
                      <a:noFill/>
                    </a:ln>
                  </pic:spPr>
                </pic:pic>
              </a:graphicData>
            </a:graphic>
          </wp:inline>
        </w:drawing>
      </w:r>
    </w:p>
    <w:p w14:paraId="267C1480" w14:textId="4725745B" w:rsidR="008C006C" w:rsidRPr="008C006C" w:rsidRDefault="00E10D59" w:rsidP="007A5EAC">
      <w:pPr>
        <w:pStyle w:val="ListParagraph"/>
        <w:spacing w:after="120"/>
        <w:ind w:left="709" w:hanging="567"/>
        <w:jc w:val="both"/>
        <w:rPr>
          <w:bCs/>
        </w:rPr>
      </w:pPr>
      <w:r w:rsidRPr="00E10D59" w:rsidDel="00E751D2">
        <w:t xml:space="preserve"> </w:t>
      </w:r>
      <w:r w:rsidR="008C006C" w:rsidRPr="008C006C">
        <w:rPr>
          <w:bCs/>
        </w:rPr>
        <w:tab/>
      </w:r>
    </w:p>
    <w:p w14:paraId="6E965F93" w14:textId="77777777" w:rsidR="000C088B" w:rsidRDefault="00FF61D4" w:rsidP="00C424C8">
      <w:pPr>
        <w:spacing w:after="120"/>
        <w:jc w:val="both"/>
        <w:rPr>
          <w:b/>
          <w:bCs/>
        </w:rPr>
      </w:pPr>
      <w:r w:rsidRPr="00FF61D4">
        <w:rPr>
          <w:b/>
          <w:bCs/>
        </w:rPr>
        <w:t xml:space="preserve">  </w:t>
      </w:r>
      <w:r w:rsidR="00C424C8">
        <w:rPr>
          <w:b/>
          <w:bCs/>
        </w:rPr>
        <w:t xml:space="preserve">  </w:t>
      </w:r>
      <w:r w:rsidRPr="00FF61D4">
        <w:rPr>
          <w:b/>
          <w:bCs/>
        </w:rPr>
        <w:t xml:space="preserve"> </w:t>
      </w:r>
    </w:p>
    <w:p w14:paraId="19651D39" w14:textId="19DD8E0E" w:rsidR="009A1D38" w:rsidRDefault="006550F5" w:rsidP="00C424C8">
      <w:pPr>
        <w:spacing w:after="120"/>
        <w:jc w:val="both"/>
      </w:pPr>
      <w:r w:rsidRPr="00BB0A57">
        <w:rPr>
          <w:b/>
          <w:bCs/>
          <w:u w:val="single"/>
        </w:rPr>
        <w:t>Table 11</w:t>
      </w:r>
      <w:r w:rsidR="00546FB8" w:rsidRPr="00BB0A57">
        <w:rPr>
          <w:b/>
          <w:bCs/>
          <w:u w:val="single"/>
        </w:rPr>
        <w:t xml:space="preserve"> Analysis of Forecast Outturn Variance</w:t>
      </w:r>
      <w:r w:rsidR="00546FB8" w:rsidRPr="00546FB8">
        <w:t xml:space="preserve"> </w:t>
      </w:r>
    </w:p>
    <w:p w14:paraId="58D8FF40" w14:textId="72008288" w:rsidR="0010349E" w:rsidRPr="00BB0A57" w:rsidRDefault="00E210B9" w:rsidP="00BB0A57">
      <w:pPr>
        <w:spacing w:after="120"/>
        <w:jc w:val="both"/>
        <w:rPr>
          <w:b/>
          <w:bCs/>
        </w:rPr>
      </w:pPr>
      <w:r>
        <w:rPr>
          <w:noProof/>
          <w:lang w:eastAsia="en-GB"/>
        </w:rPr>
        <w:t xml:space="preserve">    </w:t>
      </w:r>
      <w:r w:rsidR="009D392C" w:rsidRPr="009D392C">
        <w:rPr>
          <w:noProof/>
          <w:lang w:eastAsia="en-GB"/>
        </w:rPr>
        <w:drawing>
          <wp:inline distT="0" distB="0" distL="0" distR="0" wp14:anchorId="3546ABF3" wp14:editId="2E0261A2">
            <wp:extent cx="5157988" cy="3110248"/>
            <wp:effectExtent l="0" t="0" r="508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158105" cy="3110319"/>
                    </a:xfrm>
                    <a:prstGeom prst="rect">
                      <a:avLst/>
                    </a:prstGeom>
                    <a:noFill/>
                    <a:ln>
                      <a:noFill/>
                    </a:ln>
                  </pic:spPr>
                </pic:pic>
              </a:graphicData>
            </a:graphic>
          </wp:inline>
        </w:drawing>
      </w:r>
      <w:r>
        <w:rPr>
          <w:noProof/>
          <w:lang w:eastAsia="en-GB"/>
        </w:rPr>
        <w:t xml:space="preserve">    </w:t>
      </w:r>
    </w:p>
    <w:p w14:paraId="32FAD656" w14:textId="67E67008" w:rsidR="00664E4E" w:rsidRDefault="0077788D" w:rsidP="00BB0A57">
      <w:pPr>
        <w:ind w:left="709"/>
        <w:rPr>
          <w:b/>
          <w:u w:val="single"/>
        </w:rPr>
      </w:pPr>
      <w:r>
        <w:lastRenderedPageBreak/>
        <w:tab/>
      </w:r>
    </w:p>
    <w:p w14:paraId="7046EB52" w14:textId="77777777" w:rsidR="005E426A" w:rsidRDefault="005E426A" w:rsidP="00BB0A57">
      <w:pPr>
        <w:ind w:left="709"/>
        <w:rPr>
          <w:b/>
          <w:u w:val="single"/>
        </w:rPr>
      </w:pPr>
    </w:p>
    <w:p w14:paraId="6FBE89BB" w14:textId="37EBF98C" w:rsidR="0077788D" w:rsidRDefault="0077788D" w:rsidP="00BB0A57">
      <w:pPr>
        <w:ind w:left="709"/>
        <w:rPr>
          <w:b/>
          <w:u w:val="single"/>
        </w:rPr>
      </w:pPr>
      <w:r w:rsidRPr="00BB0A57">
        <w:rPr>
          <w:b/>
          <w:u w:val="single"/>
        </w:rPr>
        <w:t>RESOURCES DIRECTORATE</w:t>
      </w:r>
    </w:p>
    <w:p w14:paraId="73D07B9F" w14:textId="1CA63289" w:rsidR="008C006C" w:rsidRPr="00BB0A57" w:rsidRDefault="008C006C" w:rsidP="00BB0A57">
      <w:pPr>
        <w:rPr>
          <w:b/>
          <w:u w:val="single"/>
        </w:rPr>
      </w:pPr>
    </w:p>
    <w:p w14:paraId="4C035852" w14:textId="2FA43088" w:rsidR="00CC4968" w:rsidRPr="00404B4F" w:rsidRDefault="00C74465" w:rsidP="00404B4F">
      <w:pPr>
        <w:pStyle w:val="ListParagraph"/>
        <w:spacing w:after="120"/>
        <w:ind w:left="709"/>
        <w:jc w:val="both"/>
        <w:rPr>
          <w:b/>
          <w:bCs/>
          <w:u w:val="single"/>
          <w:lang w:val="en-US"/>
        </w:rPr>
      </w:pPr>
      <w:r w:rsidRPr="00404B4F">
        <w:rPr>
          <w:bCs/>
        </w:rPr>
        <w:t xml:space="preserve"> </w:t>
      </w:r>
      <w:r w:rsidR="0077788D" w:rsidRPr="00404B4F">
        <w:rPr>
          <w:bCs/>
        </w:rPr>
        <w:t>As at Quarter 1</w:t>
      </w:r>
      <w:r w:rsidR="0029065A" w:rsidRPr="00404B4F">
        <w:rPr>
          <w:bCs/>
        </w:rPr>
        <w:t xml:space="preserve"> </w:t>
      </w:r>
      <w:r w:rsidR="0077788D" w:rsidRPr="00404B4F">
        <w:rPr>
          <w:bCs/>
        </w:rPr>
        <w:t xml:space="preserve">the forecast spend </w:t>
      </w:r>
      <w:proofErr w:type="gramStart"/>
      <w:r w:rsidR="005E426A" w:rsidRPr="00404B4F">
        <w:rPr>
          <w:bCs/>
        </w:rPr>
        <w:t>is</w:t>
      </w:r>
      <w:proofErr w:type="gramEnd"/>
      <w:r w:rsidR="0077788D" w:rsidRPr="00404B4F">
        <w:rPr>
          <w:bCs/>
        </w:rPr>
        <w:t xml:space="preserve"> £</w:t>
      </w:r>
      <w:r w:rsidR="0042378A" w:rsidRPr="00404B4F">
        <w:rPr>
          <w:bCs/>
        </w:rPr>
        <w:t>2</w:t>
      </w:r>
      <w:r w:rsidR="00B66169" w:rsidRPr="00404B4F">
        <w:rPr>
          <w:bCs/>
        </w:rPr>
        <w:t>6.937</w:t>
      </w:r>
      <w:r w:rsidR="0029065A" w:rsidRPr="00404B4F">
        <w:rPr>
          <w:bCs/>
        </w:rPr>
        <w:t xml:space="preserve">m, </w:t>
      </w:r>
      <w:r w:rsidR="00B66169" w:rsidRPr="00404B4F">
        <w:rPr>
          <w:bCs/>
        </w:rPr>
        <w:t>80</w:t>
      </w:r>
      <w:r w:rsidR="0077788D" w:rsidRPr="00404B4F">
        <w:rPr>
          <w:bCs/>
        </w:rPr>
        <w:t>% of the 2017</w:t>
      </w:r>
      <w:r w:rsidR="0029065A" w:rsidRPr="00404B4F">
        <w:rPr>
          <w:bCs/>
        </w:rPr>
        <w:t xml:space="preserve">/18 </w:t>
      </w:r>
      <w:r w:rsidR="0077788D" w:rsidRPr="00404B4F">
        <w:rPr>
          <w:bCs/>
        </w:rPr>
        <w:t>Resource’s directorate capital budget.</w:t>
      </w:r>
      <w:r w:rsidR="00BF447F">
        <w:rPr>
          <w:bCs/>
        </w:rPr>
        <w:t xml:space="preserve"> </w:t>
      </w:r>
      <w:r w:rsidR="00846493" w:rsidRPr="00404B4F">
        <w:rPr>
          <w:bCs/>
        </w:rPr>
        <w:t xml:space="preserve">Plans are underway to purchase </w:t>
      </w:r>
      <w:r w:rsidR="008F7767" w:rsidRPr="00404B4F">
        <w:rPr>
          <w:bCs/>
        </w:rPr>
        <w:t xml:space="preserve"> further </w:t>
      </w:r>
      <w:r w:rsidR="00846493" w:rsidRPr="00404B4F">
        <w:rPr>
          <w:bCs/>
        </w:rPr>
        <w:t>properties this year however it is been estimated that only £</w:t>
      </w:r>
      <w:r w:rsidR="00B66169" w:rsidRPr="00404B4F">
        <w:rPr>
          <w:bCs/>
        </w:rPr>
        <w:t>7.9</w:t>
      </w:r>
      <w:r w:rsidR="00894B07" w:rsidRPr="00404B4F">
        <w:rPr>
          <w:bCs/>
        </w:rPr>
        <w:t>98m</w:t>
      </w:r>
      <w:r w:rsidR="00846493" w:rsidRPr="00404B4F">
        <w:rPr>
          <w:bCs/>
        </w:rPr>
        <w:t xml:space="preserve"> of the £14.5</w:t>
      </w:r>
      <w:r w:rsidR="00B47938" w:rsidRPr="00404B4F">
        <w:rPr>
          <w:bCs/>
        </w:rPr>
        <w:t>99</w:t>
      </w:r>
      <w:r w:rsidR="00846493" w:rsidRPr="00404B4F">
        <w:rPr>
          <w:bCs/>
        </w:rPr>
        <w:t>m budget will be spent this year and the remaining £</w:t>
      </w:r>
      <w:r w:rsidR="007F3FCE" w:rsidRPr="00404B4F">
        <w:rPr>
          <w:bCs/>
        </w:rPr>
        <w:t>6.6</w:t>
      </w:r>
      <w:r w:rsidR="00B47938" w:rsidRPr="00404B4F">
        <w:rPr>
          <w:bCs/>
        </w:rPr>
        <w:t>01</w:t>
      </w:r>
      <w:r w:rsidR="00846493" w:rsidRPr="00404B4F">
        <w:rPr>
          <w:bCs/>
        </w:rPr>
        <w:t xml:space="preserve">m will be slipped to 2018/19. </w:t>
      </w:r>
    </w:p>
    <w:p w14:paraId="52A0C94E" w14:textId="77777777" w:rsidR="00F123B5" w:rsidRPr="00F123B5" w:rsidRDefault="00F123B5" w:rsidP="00F123B5">
      <w:pPr>
        <w:pStyle w:val="ListParagraph"/>
        <w:spacing w:after="120"/>
        <w:ind w:left="928"/>
        <w:jc w:val="both"/>
        <w:rPr>
          <w:b/>
          <w:bCs/>
          <w:u w:val="single"/>
          <w:lang w:val="en-US"/>
        </w:rPr>
      </w:pPr>
    </w:p>
    <w:p w14:paraId="7DFBAC7D" w14:textId="3B1523D5" w:rsidR="00107852" w:rsidRPr="00BB0A57" w:rsidRDefault="00107852" w:rsidP="00BB0A57">
      <w:pPr>
        <w:pStyle w:val="ListParagraph"/>
        <w:spacing w:after="120"/>
        <w:ind w:left="928"/>
        <w:jc w:val="both"/>
        <w:rPr>
          <w:b/>
          <w:bCs/>
          <w:u w:val="single"/>
        </w:rPr>
      </w:pPr>
      <w:r w:rsidRPr="00BB0A57">
        <w:rPr>
          <w:b/>
          <w:bCs/>
          <w:u w:val="single"/>
          <w:lang w:val="en-US"/>
        </w:rPr>
        <w:t>COMMUNITY DIECTORATE</w:t>
      </w:r>
    </w:p>
    <w:p w14:paraId="7CD7736C" w14:textId="0605BF86" w:rsidR="000D3AF9" w:rsidRDefault="000D3AF9" w:rsidP="00BB0A57">
      <w:pPr>
        <w:pStyle w:val="ListParagraph"/>
        <w:numPr>
          <w:ilvl w:val="0"/>
          <w:numId w:val="30"/>
        </w:numPr>
        <w:spacing w:after="120"/>
        <w:ind w:left="709" w:hanging="709"/>
        <w:jc w:val="both"/>
        <w:rPr>
          <w:bCs/>
        </w:rPr>
      </w:pPr>
      <w:r w:rsidRPr="000D3AF9">
        <w:rPr>
          <w:bCs/>
        </w:rPr>
        <w:t>As at Quarter 1 the forecast is £</w:t>
      </w:r>
      <w:r>
        <w:rPr>
          <w:bCs/>
        </w:rPr>
        <w:t>38.</w:t>
      </w:r>
      <w:r w:rsidR="009102CE">
        <w:rPr>
          <w:bCs/>
        </w:rPr>
        <w:t>659</w:t>
      </w:r>
      <w:r>
        <w:rPr>
          <w:bCs/>
        </w:rPr>
        <w:t>m, 63</w:t>
      </w:r>
      <w:r w:rsidRPr="000D3AF9">
        <w:rPr>
          <w:bCs/>
        </w:rPr>
        <w:t>% of the total budget</w:t>
      </w:r>
      <w:r>
        <w:rPr>
          <w:bCs/>
        </w:rPr>
        <w:t>.</w:t>
      </w:r>
    </w:p>
    <w:p w14:paraId="1435E3F0" w14:textId="116A82A0" w:rsidR="000D3AF9" w:rsidRDefault="000D3AF9" w:rsidP="00BB0A57">
      <w:pPr>
        <w:pStyle w:val="ListParagraph"/>
        <w:numPr>
          <w:ilvl w:val="0"/>
          <w:numId w:val="30"/>
        </w:numPr>
        <w:spacing w:after="120"/>
        <w:ind w:left="709" w:hanging="709"/>
        <w:jc w:val="both"/>
        <w:rPr>
          <w:bCs/>
        </w:rPr>
      </w:pPr>
      <w:r w:rsidRPr="000D3AF9">
        <w:rPr>
          <w:bCs/>
        </w:rPr>
        <w:t>The forecast under spend is £</w:t>
      </w:r>
      <w:r>
        <w:rPr>
          <w:bCs/>
        </w:rPr>
        <w:t>22.</w:t>
      </w:r>
      <w:r w:rsidR="008F7767">
        <w:rPr>
          <w:bCs/>
        </w:rPr>
        <w:t>198</w:t>
      </w:r>
      <w:r>
        <w:rPr>
          <w:bCs/>
        </w:rPr>
        <w:t>m of which £9.</w:t>
      </w:r>
      <w:r w:rsidR="009102CE">
        <w:rPr>
          <w:bCs/>
        </w:rPr>
        <w:t>198</w:t>
      </w:r>
      <w:r w:rsidRPr="000D3AF9">
        <w:rPr>
          <w:bCs/>
        </w:rPr>
        <w:t>m will be slipped to 2018</w:t>
      </w:r>
      <w:r>
        <w:rPr>
          <w:bCs/>
        </w:rPr>
        <w:t>-19</w:t>
      </w:r>
      <w:r w:rsidRPr="000D3AF9">
        <w:rPr>
          <w:bCs/>
        </w:rPr>
        <w:t xml:space="preserve"> and £</w:t>
      </w:r>
      <w:r w:rsidR="00B47938">
        <w:rPr>
          <w:bCs/>
        </w:rPr>
        <w:t>13</w:t>
      </w:r>
      <w:r w:rsidRPr="000D3AF9">
        <w:rPr>
          <w:bCs/>
        </w:rPr>
        <w:t>m is no longer needed. The main items of slippage and underspend are detailed below</w:t>
      </w:r>
      <w:r>
        <w:rPr>
          <w:bCs/>
        </w:rPr>
        <w:t>:</w:t>
      </w:r>
    </w:p>
    <w:p w14:paraId="6A5C9D53" w14:textId="0A50130F" w:rsidR="000D3AF9" w:rsidRPr="008A73C4" w:rsidRDefault="000D3AF9" w:rsidP="002C50A2">
      <w:pPr>
        <w:autoSpaceDE w:val="0"/>
        <w:autoSpaceDN w:val="0"/>
        <w:adjustRightInd w:val="0"/>
        <w:spacing w:before="360" w:after="120"/>
        <w:ind w:left="709" w:firstLine="11"/>
        <w:rPr>
          <w:b/>
        </w:rPr>
      </w:pPr>
      <w:r>
        <w:rPr>
          <w:b/>
        </w:rPr>
        <w:t xml:space="preserve"> </w:t>
      </w:r>
      <w:r w:rsidRPr="008A73C4">
        <w:rPr>
          <w:b/>
        </w:rPr>
        <w:t>Environment &amp; Commissioning</w:t>
      </w:r>
    </w:p>
    <w:p w14:paraId="5516A9DC" w14:textId="4D5A6321" w:rsidR="00C069A5" w:rsidRPr="00C069A5" w:rsidRDefault="000D3AF9" w:rsidP="00BB0A57">
      <w:pPr>
        <w:pStyle w:val="ListParagraph"/>
        <w:numPr>
          <w:ilvl w:val="0"/>
          <w:numId w:val="30"/>
        </w:numPr>
        <w:spacing w:after="120"/>
        <w:ind w:left="709" w:hanging="709"/>
        <w:jc w:val="both"/>
        <w:rPr>
          <w:bCs/>
        </w:rPr>
      </w:pPr>
      <w:r w:rsidRPr="00C069A5">
        <w:rPr>
          <w:bCs/>
        </w:rPr>
        <w:t xml:space="preserve">At Quarter </w:t>
      </w:r>
      <w:r w:rsidR="00207F48">
        <w:rPr>
          <w:bCs/>
        </w:rPr>
        <w:t>1, the service forecast</w:t>
      </w:r>
      <w:r w:rsidR="00322879">
        <w:rPr>
          <w:bCs/>
        </w:rPr>
        <w:t xml:space="preserve"> to spend</w:t>
      </w:r>
      <w:r w:rsidRPr="00C069A5">
        <w:rPr>
          <w:bCs/>
        </w:rPr>
        <w:t xml:space="preserve"> </w:t>
      </w:r>
      <w:r w:rsidR="00C069A5" w:rsidRPr="00C069A5">
        <w:rPr>
          <w:bCs/>
        </w:rPr>
        <w:t>£22.107</w:t>
      </w:r>
      <w:r w:rsidRPr="00C069A5">
        <w:rPr>
          <w:bCs/>
        </w:rPr>
        <w:t>m this year.</w:t>
      </w:r>
      <w:r w:rsidR="00C069A5" w:rsidRPr="00C069A5">
        <w:rPr>
          <w:bCs/>
        </w:rPr>
        <w:t xml:space="preserve"> </w:t>
      </w:r>
      <w:r w:rsidR="0033256D">
        <w:rPr>
          <w:bCs/>
        </w:rPr>
        <w:t xml:space="preserve">Within this year’s budget, there is an assumed </w:t>
      </w:r>
      <w:r w:rsidR="005E426A">
        <w:rPr>
          <w:bCs/>
        </w:rPr>
        <w:t xml:space="preserve">£12m </w:t>
      </w:r>
      <w:proofErr w:type="spellStart"/>
      <w:r w:rsidR="00322879">
        <w:rPr>
          <w:bCs/>
        </w:rPr>
        <w:t>TfL</w:t>
      </w:r>
      <w:proofErr w:type="spellEnd"/>
      <w:r w:rsidR="00322879">
        <w:rPr>
          <w:bCs/>
        </w:rPr>
        <w:t xml:space="preserve"> funding for the step-free access project at Harrow on the Hill Station</w:t>
      </w:r>
      <w:r w:rsidR="005E426A">
        <w:rPr>
          <w:bCs/>
        </w:rPr>
        <w:t>.</w:t>
      </w:r>
      <w:r w:rsidR="00322879">
        <w:rPr>
          <w:bCs/>
        </w:rPr>
        <w:t xml:space="preserve"> It is anticipated that </w:t>
      </w:r>
      <w:proofErr w:type="spellStart"/>
      <w:r w:rsidR="00322879">
        <w:rPr>
          <w:bCs/>
        </w:rPr>
        <w:t>TfL</w:t>
      </w:r>
      <w:proofErr w:type="spellEnd"/>
      <w:r w:rsidR="00322879">
        <w:rPr>
          <w:bCs/>
        </w:rPr>
        <w:t xml:space="preserve"> will deliver the project directly and therefore it </w:t>
      </w:r>
      <w:r w:rsidR="00207F48">
        <w:rPr>
          <w:bCs/>
        </w:rPr>
        <w:t xml:space="preserve">is requested </w:t>
      </w:r>
      <w:r w:rsidR="00322879">
        <w:rPr>
          <w:bCs/>
        </w:rPr>
        <w:t xml:space="preserve">that the assumed budget is </w:t>
      </w:r>
      <w:r w:rsidR="00207F48">
        <w:rPr>
          <w:bCs/>
        </w:rPr>
        <w:t>removed from the capital programm</w:t>
      </w:r>
      <w:r w:rsidR="00CB2691">
        <w:rPr>
          <w:bCs/>
        </w:rPr>
        <w:t xml:space="preserve">e. </w:t>
      </w:r>
    </w:p>
    <w:p w14:paraId="42695E78" w14:textId="334C98B2" w:rsidR="000E14A4" w:rsidRDefault="000E14A4" w:rsidP="00696FE7">
      <w:pPr>
        <w:pStyle w:val="ListParagraph"/>
        <w:spacing w:after="120"/>
        <w:ind w:left="709"/>
        <w:jc w:val="both"/>
        <w:rPr>
          <w:bCs/>
        </w:rPr>
      </w:pPr>
    </w:p>
    <w:p w14:paraId="45F2D003" w14:textId="655E3401" w:rsidR="000E14A4" w:rsidRPr="00E836A2" w:rsidRDefault="003A7C33" w:rsidP="00BB0A57">
      <w:pPr>
        <w:spacing w:after="120"/>
        <w:ind w:left="720"/>
        <w:jc w:val="both"/>
        <w:rPr>
          <w:b/>
        </w:rPr>
      </w:pPr>
      <w:r>
        <w:rPr>
          <w:b/>
        </w:rPr>
        <w:t>C</w:t>
      </w:r>
      <w:r w:rsidR="000E14A4" w:rsidRPr="00E836A2">
        <w:rPr>
          <w:b/>
        </w:rPr>
        <w:t>ulture</w:t>
      </w:r>
    </w:p>
    <w:p w14:paraId="0A6EA97F" w14:textId="74968CB0" w:rsidR="000E14A4" w:rsidRPr="00E8374A" w:rsidRDefault="000E14A4" w:rsidP="00BB0A57">
      <w:pPr>
        <w:pStyle w:val="ListParagraph"/>
        <w:numPr>
          <w:ilvl w:val="0"/>
          <w:numId w:val="30"/>
        </w:numPr>
        <w:spacing w:after="120"/>
        <w:ind w:left="709" w:hanging="709"/>
        <w:jc w:val="both"/>
        <w:rPr>
          <w:bCs/>
        </w:rPr>
      </w:pPr>
      <w:r w:rsidRPr="000E14A4">
        <w:rPr>
          <w:bCs/>
        </w:rPr>
        <w:t>At Quarter 1 the forecast</w:t>
      </w:r>
      <w:r w:rsidR="00322879">
        <w:rPr>
          <w:bCs/>
        </w:rPr>
        <w:t xml:space="preserve"> spend</w:t>
      </w:r>
      <w:r w:rsidRPr="000E14A4">
        <w:rPr>
          <w:bCs/>
        </w:rPr>
        <w:t xml:space="preserve"> </w:t>
      </w:r>
      <w:r w:rsidRPr="00E8374A">
        <w:rPr>
          <w:bCs/>
        </w:rPr>
        <w:t>is £</w:t>
      </w:r>
      <w:r w:rsidR="00D4573F" w:rsidRPr="00E8374A">
        <w:rPr>
          <w:bCs/>
        </w:rPr>
        <w:t>2.722</w:t>
      </w:r>
      <w:r w:rsidRPr="00E8374A">
        <w:rPr>
          <w:bCs/>
        </w:rPr>
        <w:t>m.</w:t>
      </w:r>
    </w:p>
    <w:p w14:paraId="6434D978" w14:textId="7163CC34" w:rsidR="004A47D9" w:rsidRPr="00BB0A57" w:rsidRDefault="00CC4968" w:rsidP="00BB0A57">
      <w:pPr>
        <w:pStyle w:val="ListParagraph"/>
        <w:numPr>
          <w:ilvl w:val="0"/>
          <w:numId w:val="30"/>
        </w:numPr>
        <w:spacing w:after="120"/>
        <w:ind w:left="709" w:hanging="709"/>
        <w:jc w:val="both"/>
        <w:rPr>
          <w:b/>
          <w:bCs/>
          <w:i/>
        </w:rPr>
      </w:pPr>
      <w:r w:rsidRPr="00D91BBC">
        <w:rPr>
          <w:bCs/>
        </w:rPr>
        <w:t>The forecast under spend of £1m relates to Harrow Art Centre roof repair</w:t>
      </w:r>
      <w:r w:rsidR="00322879">
        <w:rPr>
          <w:bCs/>
        </w:rPr>
        <w:t xml:space="preserve"> project</w:t>
      </w:r>
      <w:r w:rsidRPr="00D91BBC">
        <w:rPr>
          <w:bCs/>
        </w:rPr>
        <w:t>.</w:t>
      </w:r>
      <w:r w:rsidR="00D91BBC" w:rsidRPr="00D91BBC">
        <w:rPr>
          <w:bCs/>
        </w:rPr>
        <w:t xml:space="preserve"> It is proposed that this budget </w:t>
      </w:r>
      <w:r w:rsidR="00322879">
        <w:rPr>
          <w:bCs/>
        </w:rPr>
        <w:t xml:space="preserve">is </w:t>
      </w:r>
      <w:r w:rsidR="00D91BBC" w:rsidRPr="00D91BBC">
        <w:rPr>
          <w:bCs/>
        </w:rPr>
        <w:t>be reallocated to other projects.</w:t>
      </w:r>
    </w:p>
    <w:p w14:paraId="2E1CAA85" w14:textId="77777777" w:rsidR="00D91BBC" w:rsidRPr="00D91BBC" w:rsidRDefault="00D91BBC" w:rsidP="00BB0A57">
      <w:pPr>
        <w:pStyle w:val="ListParagraph"/>
        <w:spacing w:after="120"/>
        <w:ind w:left="709"/>
        <w:jc w:val="both"/>
        <w:rPr>
          <w:b/>
          <w:bCs/>
          <w:i/>
        </w:rPr>
      </w:pPr>
    </w:p>
    <w:p w14:paraId="3E848EFB" w14:textId="5DB47F56" w:rsidR="009F2161" w:rsidRPr="00BB0A57" w:rsidRDefault="009F2161" w:rsidP="00BB0A57">
      <w:pPr>
        <w:pStyle w:val="ListParagraph"/>
        <w:spacing w:after="120"/>
        <w:ind w:left="786"/>
        <w:jc w:val="both"/>
        <w:rPr>
          <w:b/>
          <w:bCs/>
        </w:rPr>
      </w:pPr>
      <w:r w:rsidRPr="00BB0A57">
        <w:rPr>
          <w:b/>
          <w:bCs/>
        </w:rPr>
        <w:t>Housing General Fund</w:t>
      </w:r>
    </w:p>
    <w:p w14:paraId="3AB8A3D5" w14:textId="0E37D9EE" w:rsidR="004A47D9" w:rsidRDefault="008B3424" w:rsidP="00BB0A57">
      <w:pPr>
        <w:pStyle w:val="ListParagraph"/>
        <w:numPr>
          <w:ilvl w:val="0"/>
          <w:numId w:val="30"/>
        </w:numPr>
        <w:spacing w:after="120"/>
        <w:ind w:left="709" w:hanging="709"/>
        <w:jc w:val="both"/>
        <w:rPr>
          <w:bCs/>
        </w:rPr>
      </w:pPr>
      <w:r>
        <w:rPr>
          <w:bCs/>
        </w:rPr>
        <w:t xml:space="preserve">At Quarter 1 the outturn forecast for Housing General Fund is </w:t>
      </w:r>
      <w:r w:rsidR="004A47D9" w:rsidRPr="004A47D9">
        <w:rPr>
          <w:bCs/>
        </w:rPr>
        <w:t xml:space="preserve"> £</w:t>
      </w:r>
      <w:r>
        <w:rPr>
          <w:bCs/>
        </w:rPr>
        <w:t>13.830</w:t>
      </w:r>
      <w:r w:rsidR="004A47D9" w:rsidRPr="004A47D9">
        <w:rPr>
          <w:bCs/>
        </w:rPr>
        <w:t xml:space="preserve">m </w:t>
      </w:r>
    </w:p>
    <w:p w14:paraId="21626F39" w14:textId="29CAB85B" w:rsidR="004A47D9" w:rsidRDefault="004A47D9" w:rsidP="00BB0A57">
      <w:pPr>
        <w:pStyle w:val="ListParagraph"/>
        <w:numPr>
          <w:ilvl w:val="0"/>
          <w:numId w:val="30"/>
        </w:numPr>
        <w:spacing w:after="120"/>
        <w:ind w:left="709" w:hanging="709"/>
        <w:jc w:val="both"/>
        <w:rPr>
          <w:bCs/>
        </w:rPr>
      </w:pPr>
      <w:r w:rsidRPr="004A47D9">
        <w:rPr>
          <w:bCs/>
        </w:rPr>
        <w:t>Th</w:t>
      </w:r>
      <w:r>
        <w:rPr>
          <w:bCs/>
        </w:rPr>
        <w:t>e forecast under spend is £</w:t>
      </w:r>
      <w:r w:rsidR="008B3424">
        <w:rPr>
          <w:bCs/>
        </w:rPr>
        <w:t>9.1</w:t>
      </w:r>
      <w:r w:rsidR="009102CE">
        <w:rPr>
          <w:bCs/>
        </w:rPr>
        <w:t>98</w:t>
      </w:r>
      <w:r>
        <w:rPr>
          <w:bCs/>
        </w:rPr>
        <w:t xml:space="preserve">m of which </w:t>
      </w:r>
      <w:r w:rsidR="00F123B5">
        <w:rPr>
          <w:bCs/>
        </w:rPr>
        <w:t xml:space="preserve">will all be slipped </w:t>
      </w:r>
      <w:r w:rsidRPr="004A47D9">
        <w:rPr>
          <w:bCs/>
        </w:rPr>
        <w:t>to 201</w:t>
      </w:r>
      <w:r>
        <w:rPr>
          <w:bCs/>
        </w:rPr>
        <w:t>8</w:t>
      </w:r>
      <w:r w:rsidRPr="004A47D9">
        <w:rPr>
          <w:bCs/>
        </w:rPr>
        <w:t>-1</w:t>
      </w:r>
      <w:r>
        <w:rPr>
          <w:bCs/>
        </w:rPr>
        <w:t>9.</w:t>
      </w:r>
    </w:p>
    <w:p w14:paraId="0378C78B" w14:textId="2541474D" w:rsidR="004A47D9" w:rsidRPr="00A43FF5" w:rsidRDefault="004A47D9" w:rsidP="00BB0A57">
      <w:pPr>
        <w:pStyle w:val="ListParagraph"/>
        <w:numPr>
          <w:ilvl w:val="0"/>
          <w:numId w:val="30"/>
        </w:numPr>
        <w:spacing w:after="120"/>
        <w:ind w:left="709" w:hanging="709"/>
        <w:jc w:val="both"/>
        <w:rPr>
          <w:bCs/>
        </w:rPr>
      </w:pPr>
      <w:r w:rsidRPr="00A43FF5">
        <w:rPr>
          <w:bCs/>
        </w:rPr>
        <w:t>Empty Prop</w:t>
      </w:r>
      <w:r w:rsidR="008B3424" w:rsidRPr="00A43FF5">
        <w:rPr>
          <w:bCs/>
        </w:rPr>
        <w:t xml:space="preserve">erty Grants is expected to </w:t>
      </w:r>
      <w:r w:rsidR="00F123B5" w:rsidRPr="00A43FF5">
        <w:rPr>
          <w:bCs/>
        </w:rPr>
        <w:t>slip</w:t>
      </w:r>
      <w:r w:rsidR="008B3424" w:rsidRPr="00A43FF5">
        <w:rPr>
          <w:bCs/>
        </w:rPr>
        <w:t xml:space="preserve"> £1</w:t>
      </w:r>
      <w:r w:rsidR="00F123B5" w:rsidRPr="00A43FF5">
        <w:rPr>
          <w:bCs/>
        </w:rPr>
        <w:t>98</w:t>
      </w:r>
      <w:r w:rsidRPr="00A43FF5">
        <w:rPr>
          <w:bCs/>
        </w:rPr>
        <w:t xml:space="preserve">k </w:t>
      </w:r>
      <w:r w:rsidR="00A43FF5" w:rsidRPr="00A43FF5">
        <w:rPr>
          <w:bCs/>
        </w:rPr>
        <w:t>into next year this is due to a lower uptake of grant been offered by the council.</w:t>
      </w:r>
      <w:r w:rsidRPr="00A43FF5">
        <w:rPr>
          <w:bCs/>
        </w:rPr>
        <w:t xml:space="preserve"> The implication of this</w:t>
      </w:r>
      <w:r w:rsidR="00A43FF5" w:rsidRPr="00A43FF5">
        <w:rPr>
          <w:bCs/>
        </w:rPr>
        <w:t xml:space="preserve"> will be less property to combat homelessness; </w:t>
      </w:r>
      <w:r w:rsidR="00A43FF5">
        <w:rPr>
          <w:bCs/>
        </w:rPr>
        <w:t xml:space="preserve">housing </w:t>
      </w:r>
      <w:r w:rsidR="00A43FF5" w:rsidRPr="00A43FF5">
        <w:rPr>
          <w:bCs/>
        </w:rPr>
        <w:t>service is working with local landlords to complete the awarded grant.</w:t>
      </w:r>
    </w:p>
    <w:p w14:paraId="39A8DAF0" w14:textId="2634B7EE" w:rsidR="00DB2E72" w:rsidRDefault="00D91BBC" w:rsidP="00BB0A57">
      <w:pPr>
        <w:pStyle w:val="ListParagraph"/>
        <w:numPr>
          <w:ilvl w:val="0"/>
          <w:numId w:val="30"/>
        </w:numPr>
        <w:ind w:left="709" w:hanging="709"/>
        <w:jc w:val="both"/>
        <w:rPr>
          <w:bCs/>
        </w:rPr>
      </w:pPr>
      <w:r w:rsidRPr="00DB2E72">
        <w:rPr>
          <w:bCs/>
        </w:rPr>
        <w:t xml:space="preserve">Housing Property Purchase reflects </w:t>
      </w:r>
      <w:r w:rsidR="009102CE">
        <w:rPr>
          <w:bCs/>
        </w:rPr>
        <w:t xml:space="preserve">the </w:t>
      </w:r>
      <w:r w:rsidRPr="00DB2E72">
        <w:rPr>
          <w:bCs/>
        </w:rPr>
        <w:t xml:space="preserve">completion of 100 property acquisitions; the budget </w:t>
      </w:r>
      <w:r w:rsidR="009102CE">
        <w:rPr>
          <w:bCs/>
        </w:rPr>
        <w:t xml:space="preserve">of £9m </w:t>
      </w:r>
      <w:r w:rsidRPr="00DB2E72">
        <w:rPr>
          <w:bCs/>
        </w:rPr>
        <w:t>for the ad</w:t>
      </w:r>
      <w:r w:rsidR="00011B67">
        <w:rPr>
          <w:bCs/>
        </w:rPr>
        <w:t>dition</w:t>
      </w:r>
      <w:r w:rsidRPr="00DB2E72">
        <w:rPr>
          <w:bCs/>
        </w:rPr>
        <w:t xml:space="preserve">al 50 properties </w:t>
      </w:r>
      <w:r w:rsidR="008F7767">
        <w:rPr>
          <w:bCs/>
        </w:rPr>
        <w:t xml:space="preserve">is </w:t>
      </w:r>
      <w:r w:rsidRPr="00DB2E72">
        <w:rPr>
          <w:bCs/>
        </w:rPr>
        <w:t>assumed to slip to 2018-19 pending completion of the review of programme</w:t>
      </w:r>
      <w:r w:rsidR="008F7767">
        <w:rPr>
          <w:bCs/>
        </w:rPr>
        <w:t xml:space="preserve">. </w:t>
      </w:r>
    </w:p>
    <w:p w14:paraId="7CBB7862" w14:textId="77777777" w:rsidR="009718B5" w:rsidRDefault="009718B5" w:rsidP="00BB0A57">
      <w:pPr>
        <w:ind w:firstLine="709"/>
        <w:rPr>
          <w:b/>
          <w:bCs/>
          <w:u w:val="single"/>
        </w:rPr>
      </w:pPr>
    </w:p>
    <w:p w14:paraId="3F064AE0" w14:textId="77777777" w:rsidR="009718B5" w:rsidRDefault="009718B5" w:rsidP="00BB0A57">
      <w:pPr>
        <w:ind w:firstLine="709"/>
        <w:rPr>
          <w:b/>
          <w:bCs/>
          <w:u w:val="single"/>
        </w:rPr>
      </w:pPr>
    </w:p>
    <w:p w14:paraId="7A6E7946" w14:textId="1B8F27D3" w:rsidR="000A63BB" w:rsidRPr="00E07305" w:rsidRDefault="000A63BB" w:rsidP="00BB0A57">
      <w:pPr>
        <w:ind w:firstLine="709"/>
        <w:rPr>
          <w:b/>
          <w:bCs/>
          <w:u w:val="single"/>
        </w:rPr>
      </w:pPr>
      <w:r w:rsidRPr="00BB0A57">
        <w:rPr>
          <w:b/>
          <w:bCs/>
          <w:u w:val="single"/>
        </w:rPr>
        <w:lastRenderedPageBreak/>
        <w:t>PEOPLE</w:t>
      </w:r>
    </w:p>
    <w:p w14:paraId="6D9AE1AA" w14:textId="77777777" w:rsidR="00DB2E72" w:rsidRPr="00BB0A57" w:rsidRDefault="00DB2E72" w:rsidP="00BB0A57">
      <w:pPr>
        <w:spacing w:after="120"/>
        <w:jc w:val="both"/>
        <w:rPr>
          <w:b/>
          <w:bCs/>
        </w:rPr>
      </w:pPr>
    </w:p>
    <w:p w14:paraId="276F0D32" w14:textId="2BB33797" w:rsidR="000A63BB" w:rsidRDefault="000A63BB" w:rsidP="00BB0A57">
      <w:pPr>
        <w:pStyle w:val="ListParagraph"/>
        <w:numPr>
          <w:ilvl w:val="0"/>
          <w:numId w:val="30"/>
        </w:numPr>
        <w:spacing w:after="120"/>
        <w:ind w:left="709" w:hanging="709"/>
        <w:jc w:val="both"/>
        <w:rPr>
          <w:bCs/>
        </w:rPr>
      </w:pPr>
      <w:r w:rsidRPr="000A63BB">
        <w:rPr>
          <w:bCs/>
        </w:rPr>
        <w:t>At Quarter 1 the forec</w:t>
      </w:r>
      <w:r>
        <w:rPr>
          <w:bCs/>
        </w:rPr>
        <w:t>ast spend is £29.106m, 74% of the 20</w:t>
      </w:r>
      <w:r w:rsidRPr="000A63BB">
        <w:rPr>
          <w:bCs/>
        </w:rPr>
        <w:t>17</w:t>
      </w:r>
      <w:r>
        <w:rPr>
          <w:bCs/>
        </w:rPr>
        <w:t>/18</w:t>
      </w:r>
      <w:r w:rsidRPr="000A63BB">
        <w:rPr>
          <w:bCs/>
        </w:rPr>
        <w:t xml:space="preserve"> </w:t>
      </w:r>
      <w:r w:rsidRPr="000A63BB">
        <w:rPr>
          <w:bCs/>
        </w:rPr>
        <w:tab/>
        <w:t>People’s directorate capital budget</w:t>
      </w:r>
      <w:r>
        <w:rPr>
          <w:bCs/>
        </w:rPr>
        <w:t>.</w:t>
      </w:r>
    </w:p>
    <w:p w14:paraId="1872D28C" w14:textId="433AC8C2" w:rsidR="006E19E9" w:rsidRPr="00BB0A57" w:rsidRDefault="000A63BB" w:rsidP="00BB0A57">
      <w:pPr>
        <w:pStyle w:val="ListParagraph"/>
        <w:numPr>
          <w:ilvl w:val="0"/>
          <w:numId w:val="30"/>
        </w:numPr>
        <w:spacing w:after="120"/>
        <w:ind w:left="709" w:hanging="709"/>
        <w:jc w:val="both"/>
        <w:rPr>
          <w:bCs/>
          <w:sz w:val="20"/>
          <w:u w:val="single"/>
        </w:rPr>
      </w:pPr>
      <w:r w:rsidRPr="006E19E9">
        <w:rPr>
          <w:bCs/>
        </w:rPr>
        <w:t>The forecast under spend is £10.1</w:t>
      </w:r>
      <w:r w:rsidR="008F7767">
        <w:rPr>
          <w:bCs/>
        </w:rPr>
        <w:t>94</w:t>
      </w:r>
      <w:r w:rsidRPr="006E19E9">
        <w:rPr>
          <w:bCs/>
        </w:rPr>
        <w:t>m of which £5.76</w:t>
      </w:r>
      <w:r w:rsidR="009102CE">
        <w:rPr>
          <w:bCs/>
        </w:rPr>
        <w:t>9</w:t>
      </w:r>
      <w:r w:rsidR="006E19E9" w:rsidRPr="006E19E9">
        <w:rPr>
          <w:bCs/>
        </w:rPr>
        <w:t>m will be slipped to 20</w:t>
      </w:r>
      <w:r w:rsidRPr="006E19E9">
        <w:rPr>
          <w:bCs/>
        </w:rPr>
        <w:t>18</w:t>
      </w:r>
      <w:r w:rsidR="006E19E9" w:rsidRPr="006E19E9">
        <w:rPr>
          <w:bCs/>
        </w:rPr>
        <w:t>/19</w:t>
      </w:r>
      <w:r w:rsidRPr="006E19E9">
        <w:rPr>
          <w:bCs/>
        </w:rPr>
        <w:t xml:space="preserve"> and £4.425m is no longer needed. </w:t>
      </w:r>
    </w:p>
    <w:p w14:paraId="2CE58291" w14:textId="77777777" w:rsidR="006E19E9" w:rsidRPr="006E19E9" w:rsidRDefault="006E19E9" w:rsidP="00BB0A57">
      <w:pPr>
        <w:spacing w:after="120"/>
        <w:jc w:val="both"/>
        <w:rPr>
          <w:bCs/>
          <w:sz w:val="20"/>
          <w:u w:val="single"/>
        </w:rPr>
      </w:pPr>
    </w:p>
    <w:p w14:paraId="7F3061F9" w14:textId="15C5DDAF" w:rsidR="000A63BB" w:rsidRPr="00BB0A57" w:rsidRDefault="000A63BB" w:rsidP="00BB0A57">
      <w:pPr>
        <w:pStyle w:val="ListParagraph"/>
        <w:spacing w:after="120"/>
        <w:ind w:left="709"/>
        <w:jc w:val="both"/>
        <w:rPr>
          <w:b/>
          <w:bCs/>
          <w:sz w:val="20"/>
        </w:rPr>
      </w:pPr>
      <w:r w:rsidRPr="00BB0A57">
        <w:rPr>
          <w:b/>
          <w:bCs/>
          <w:sz w:val="20"/>
        </w:rPr>
        <w:t>ADULT</w:t>
      </w:r>
      <w:r w:rsidR="00B06904" w:rsidRPr="00BB0A57">
        <w:rPr>
          <w:b/>
          <w:bCs/>
          <w:sz w:val="20"/>
        </w:rPr>
        <w:t>S</w:t>
      </w:r>
    </w:p>
    <w:p w14:paraId="2132D993" w14:textId="545916FC" w:rsidR="00B06904" w:rsidRDefault="00B06904" w:rsidP="00BB0A57">
      <w:pPr>
        <w:pStyle w:val="ListParagraph"/>
        <w:numPr>
          <w:ilvl w:val="0"/>
          <w:numId w:val="30"/>
        </w:numPr>
        <w:spacing w:after="120"/>
        <w:ind w:left="709" w:hanging="709"/>
        <w:jc w:val="both"/>
        <w:rPr>
          <w:bCs/>
        </w:rPr>
      </w:pPr>
      <w:r w:rsidRPr="00B06904">
        <w:rPr>
          <w:bCs/>
        </w:rPr>
        <w:t>At Quarter 1 the forecast spent is £</w:t>
      </w:r>
      <w:r>
        <w:rPr>
          <w:bCs/>
        </w:rPr>
        <w:t>9.</w:t>
      </w:r>
      <w:r w:rsidR="008F7767">
        <w:rPr>
          <w:bCs/>
        </w:rPr>
        <w:t>79</w:t>
      </w:r>
      <w:r>
        <w:rPr>
          <w:bCs/>
        </w:rPr>
        <w:t>3</w:t>
      </w:r>
      <w:r w:rsidRPr="00B06904">
        <w:rPr>
          <w:bCs/>
        </w:rPr>
        <w:t xml:space="preserve">m </w:t>
      </w:r>
      <w:r w:rsidR="006E19E9">
        <w:rPr>
          <w:bCs/>
        </w:rPr>
        <w:t xml:space="preserve">this represents </w:t>
      </w:r>
      <w:r>
        <w:rPr>
          <w:bCs/>
        </w:rPr>
        <w:t>100</w:t>
      </w:r>
      <w:r w:rsidR="006E19E9">
        <w:rPr>
          <w:bCs/>
        </w:rPr>
        <w:t xml:space="preserve">% of the approved </w:t>
      </w:r>
      <w:r w:rsidRPr="00B06904">
        <w:rPr>
          <w:bCs/>
        </w:rPr>
        <w:t>capital programme</w:t>
      </w:r>
      <w:r>
        <w:rPr>
          <w:bCs/>
        </w:rPr>
        <w:t>.</w:t>
      </w:r>
    </w:p>
    <w:p w14:paraId="3633DB74" w14:textId="77777777" w:rsidR="00B06904" w:rsidRDefault="00B06904" w:rsidP="00BB0A57">
      <w:pPr>
        <w:pStyle w:val="ListParagraph"/>
        <w:spacing w:after="120"/>
        <w:ind w:left="709"/>
        <w:jc w:val="both"/>
        <w:rPr>
          <w:bCs/>
          <w:sz w:val="20"/>
          <w:u w:val="single"/>
        </w:rPr>
      </w:pPr>
    </w:p>
    <w:p w14:paraId="58A17F46" w14:textId="469C7DF1" w:rsidR="00B06904" w:rsidRPr="00BB0A57" w:rsidRDefault="00B06904" w:rsidP="00BB0A57">
      <w:pPr>
        <w:pStyle w:val="ListParagraph"/>
        <w:spacing w:after="120"/>
        <w:ind w:left="709"/>
        <w:jc w:val="both"/>
        <w:rPr>
          <w:b/>
          <w:bCs/>
          <w:sz w:val="20"/>
        </w:rPr>
      </w:pPr>
      <w:r w:rsidRPr="00BB0A57">
        <w:rPr>
          <w:b/>
          <w:bCs/>
          <w:sz w:val="20"/>
        </w:rPr>
        <w:t>SCHOOLS</w:t>
      </w:r>
    </w:p>
    <w:p w14:paraId="7672B2D4" w14:textId="1ADDAB37" w:rsidR="009E08CE" w:rsidRDefault="009E08CE" w:rsidP="00BB0A57">
      <w:pPr>
        <w:pStyle w:val="ListParagraph"/>
        <w:numPr>
          <w:ilvl w:val="0"/>
          <w:numId w:val="30"/>
        </w:numPr>
        <w:spacing w:after="120"/>
        <w:ind w:left="709" w:hanging="709"/>
        <w:jc w:val="both"/>
        <w:rPr>
          <w:bCs/>
        </w:rPr>
      </w:pPr>
      <w:r w:rsidRPr="009E08CE">
        <w:rPr>
          <w:bCs/>
        </w:rPr>
        <w:t>The approved capital programme in 2017-18 for Children’s Services totals £29.508m. The projected expenditure this year is £19.314m which represents 65% of the total capital budget</w:t>
      </w:r>
      <w:r>
        <w:rPr>
          <w:bCs/>
        </w:rPr>
        <w:t>.</w:t>
      </w:r>
    </w:p>
    <w:p w14:paraId="341B42CF" w14:textId="4F4EAB8F" w:rsidR="009E08CE" w:rsidRPr="009E08CE" w:rsidRDefault="009E08CE" w:rsidP="009E08CE">
      <w:pPr>
        <w:pStyle w:val="ListParagraph"/>
        <w:numPr>
          <w:ilvl w:val="0"/>
          <w:numId w:val="30"/>
        </w:numPr>
        <w:spacing w:after="120"/>
        <w:ind w:left="709" w:hanging="709"/>
        <w:jc w:val="both"/>
        <w:rPr>
          <w:b/>
          <w:bCs/>
        </w:rPr>
      </w:pPr>
      <w:r w:rsidRPr="009E08CE">
        <w:rPr>
          <w:b/>
          <w:bCs/>
        </w:rPr>
        <w:t>School Expansion Programme (SEP) 1 and 2 (including some SEN and Secondary)</w:t>
      </w:r>
      <w:r>
        <w:rPr>
          <w:b/>
          <w:bCs/>
        </w:rPr>
        <w:t xml:space="preserve"> - </w:t>
      </w:r>
      <w:proofErr w:type="spellStart"/>
      <w:r w:rsidRPr="00BB0A57">
        <w:rPr>
          <w:bCs/>
        </w:rPr>
        <w:t>Keepmoat</w:t>
      </w:r>
      <w:proofErr w:type="spellEnd"/>
      <w:r w:rsidRPr="00BB0A57">
        <w:rPr>
          <w:bCs/>
        </w:rPr>
        <w:t>, the Council’s Framework Partner was commissioned to deliver the majority of the Phase 1 (SEP1) and Phase 2 (SEP2) construction projects.  The projects in SEP1 and SEP2 have reached Project Completion and the schools are occupying their new accommodation</w:t>
      </w:r>
      <w:r w:rsidRPr="009E08CE">
        <w:rPr>
          <w:b/>
          <w:bCs/>
        </w:rPr>
        <w:t xml:space="preserve">. </w:t>
      </w:r>
    </w:p>
    <w:p w14:paraId="5B37DA44" w14:textId="14DEC26A" w:rsidR="00B06904" w:rsidRPr="009C30DF" w:rsidRDefault="009E08CE" w:rsidP="00BB0A57">
      <w:pPr>
        <w:pStyle w:val="ListParagraph"/>
        <w:numPr>
          <w:ilvl w:val="0"/>
          <w:numId w:val="30"/>
        </w:numPr>
        <w:spacing w:after="120"/>
        <w:ind w:left="709" w:hanging="709"/>
        <w:jc w:val="both"/>
        <w:rPr>
          <w:bCs/>
        </w:rPr>
      </w:pPr>
      <w:r w:rsidRPr="00BB0A57">
        <w:rPr>
          <w:bCs/>
        </w:rPr>
        <w:t xml:space="preserve">The Children’s Capital Project Team is working to resolve a number of building defects with </w:t>
      </w:r>
      <w:proofErr w:type="spellStart"/>
      <w:r w:rsidRPr="00BB0A57">
        <w:rPr>
          <w:bCs/>
        </w:rPr>
        <w:t>Keepmoat</w:t>
      </w:r>
      <w:proofErr w:type="spellEnd"/>
      <w:r w:rsidRPr="00BB0A57">
        <w:rPr>
          <w:bCs/>
        </w:rPr>
        <w:t xml:space="preserve"> post completion. There are on-going contractual issues with </w:t>
      </w:r>
      <w:proofErr w:type="spellStart"/>
      <w:r w:rsidRPr="00BB0A57">
        <w:rPr>
          <w:bCs/>
        </w:rPr>
        <w:t>Keepmoat</w:t>
      </w:r>
      <w:proofErr w:type="spellEnd"/>
      <w:r w:rsidRPr="00BB0A57">
        <w:rPr>
          <w:bCs/>
        </w:rPr>
        <w:t xml:space="preserve"> and the council has appointed Legal and Commercial advisers to secure resolution. For the purposes of budget monitoring these programmes are forecast to budget but there is a risk to the capital programme that the final outturn is higher than the budget </w:t>
      </w:r>
    </w:p>
    <w:p w14:paraId="140688EB" w14:textId="32C5FEF6" w:rsidR="009C30DF" w:rsidRPr="00BB0A57" w:rsidRDefault="009C30DF" w:rsidP="00BB0A57">
      <w:pPr>
        <w:pStyle w:val="ListParagraph"/>
        <w:numPr>
          <w:ilvl w:val="0"/>
          <w:numId w:val="30"/>
        </w:numPr>
        <w:ind w:left="788" w:hanging="788"/>
        <w:jc w:val="both"/>
        <w:rPr>
          <w:rFonts w:cs="Arial"/>
          <w:b/>
          <w:szCs w:val="24"/>
        </w:rPr>
      </w:pPr>
      <w:r w:rsidRPr="009C30DF">
        <w:rPr>
          <w:rFonts w:cs="Arial"/>
          <w:b/>
          <w:szCs w:val="24"/>
        </w:rPr>
        <w:t>SEP 3</w:t>
      </w:r>
      <w:r w:rsidR="000C088B">
        <w:rPr>
          <w:rFonts w:cs="Arial"/>
          <w:b/>
          <w:szCs w:val="24"/>
        </w:rPr>
        <w:t xml:space="preserve"> </w:t>
      </w:r>
      <w:proofErr w:type="gramStart"/>
      <w:r>
        <w:rPr>
          <w:rFonts w:cs="Arial"/>
          <w:b/>
          <w:szCs w:val="24"/>
        </w:rPr>
        <w:t xml:space="preserve">- </w:t>
      </w:r>
      <w:r w:rsidR="0010349E">
        <w:rPr>
          <w:rFonts w:cs="Arial"/>
          <w:b/>
          <w:szCs w:val="24"/>
        </w:rPr>
        <w:t xml:space="preserve"> </w:t>
      </w:r>
      <w:r w:rsidRPr="00BB0A57">
        <w:rPr>
          <w:rFonts w:cs="Arial"/>
          <w:szCs w:val="24"/>
        </w:rPr>
        <w:t>Following</w:t>
      </w:r>
      <w:proofErr w:type="gramEnd"/>
      <w:r w:rsidRPr="00BB0A57">
        <w:rPr>
          <w:rFonts w:cs="Arial"/>
          <w:szCs w:val="24"/>
        </w:rPr>
        <w:t xml:space="preserve"> procurement processes, </w:t>
      </w:r>
      <w:proofErr w:type="spellStart"/>
      <w:r w:rsidRPr="00BB0A57">
        <w:rPr>
          <w:rFonts w:cs="Arial"/>
          <w:szCs w:val="24"/>
        </w:rPr>
        <w:t>Arcadis</w:t>
      </w:r>
      <w:proofErr w:type="spellEnd"/>
      <w:r w:rsidRPr="00BB0A57">
        <w:rPr>
          <w:rFonts w:cs="Arial"/>
          <w:szCs w:val="24"/>
        </w:rPr>
        <w:t xml:space="preserve"> were appointed as Technical Advisers and </w:t>
      </w:r>
      <w:proofErr w:type="spellStart"/>
      <w:r w:rsidRPr="00BB0A57">
        <w:rPr>
          <w:rFonts w:cs="Arial"/>
          <w:szCs w:val="24"/>
        </w:rPr>
        <w:t>Willmott</w:t>
      </w:r>
      <w:proofErr w:type="spellEnd"/>
      <w:r w:rsidRPr="00BB0A57">
        <w:rPr>
          <w:rFonts w:cs="Arial"/>
          <w:szCs w:val="24"/>
        </w:rPr>
        <w:t xml:space="preserve"> Dixon as the single supplier from the SCAPE framework for the SEP3 projects.  The SCAPE framework is local authority owned and specialises in school construction. There are four school expansions over five school sites. Three of the projects are completed, one is on site with a completion planned for </w:t>
      </w:r>
      <w:proofErr w:type="gramStart"/>
      <w:r w:rsidRPr="00BB0A57">
        <w:rPr>
          <w:rFonts w:cs="Arial"/>
          <w:szCs w:val="24"/>
        </w:rPr>
        <w:t>Autumn</w:t>
      </w:r>
      <w:proofErr w:type="gramEnd"/>
      <w:r w:rsidRPr="00BB0A57">
        <w:rPr>
          <w:rFonts w:cs="Arial"/>
          <w:szCs w:val="24"/>
        </w:rPr>
        <w:t xml:space="preserve"> 2017 and the final scheme will be submitted for planning approval in the Autumn for completion by Autumn 2018. In addition, Weald Rise is being rebuilt by the Priority Schools Building Programme (PSBP) and the LA is providing a top up to expand the school to 4 forms of entry</w:t>
      </w:r>
      <w:r>
        <w:rPr>
          <w:rFonts w:cs="Arial"/>
          <w:szCs w:val="24"/>
        </w:rPr>
        <w:t>.</w:t>
      </w:r>
    </w:p>
    <w:p w14:paraId="0D35B9ED" w14:textId="77777777" w:rsidR="009C30DF" w:rsidRDefault="009C30DF" w:rsidP="00BB0A57">
      <w:pPr>
        <w:rPr>
          <w:rFonts w:cs="Arial"/>
          <w:b/>
          <w:szCs w:val="24"/>
        </w:rPr>
      </w:pPr>
    </w:p>
    <w:p w14:paraId="3670D911" w14:textId="77777777" w:rsidR="009C30DF" w:rsidRPr="00665B89" w:rsidRDefault="009C30DF" w:rsidP="009C30DF">
      <w:pPr>
        <w:ind w:firstLine="720"/>
        <w:rPr>
          <w:rFonts w:cs="Arial"/>
          <w:b/>
          <w:szCs w:val="24"/>
        </w:rPr>
      </w:pPr>
      <w:r w:rsidRPr="00665B89">
        <w:rPr>
          <w:rFonts w:cs="Arial"/>
          <w:b/>
          <w:szCs w:val="24"/>
        </w:rPr>
        <w:t>Slippage</w:t>
      </w:r>
    </w:p>
    <w:p w14:paraId="5ACAF56D" w14:textId="77777777" w:rsidR="009C30DF" w:rsidRDefault="009C30DF" w:rsidP="00BB0A57">
      <w:pPr>
        <w:rPr>
          <w:rFonts w:cs="Arial"/>
          <w:b/>
          <w:szCs w:val="24"/>
        </w:rPr>
      </w:pPr>
    </w:p>
    <w:p w14:paraId="4680FCE9" w14:textId="69F2444B" w:rsidR="009C30DF" w:rsidRDefault="009C30DF" w:rsidP="00BB0A57">
      <w:pPr>
        <w:pStyle w:val="ListParagraph"/>
        <w:numPr>
          <w:ilvl w:val="0"/>
          <w:numId w:val="30"/>
        </w:numPr>
        <w:ind w:left="788" w:hanging="788"/>
        <w:jc w:val="both"/>
        <w:rPr>
          <w:rFonts w:cs="Arial"/>
          <w:szCs w:val="24"/>
        </w:rPr>
      </w:pPr>
      <w:r w:rsidRPr="00BB0A57">
        <w:rPr>
          <w:rFonts w:cs="Arial"/>
          <w:szCs w:val="24"/>
        </w:rPr>
        <w:t xml:space="preserve">The majority of the slippage relates to new SEN and Secondary provision. As reported to Cabinet in June 2017 the projections for Year 7 places continue to show a lower trajectory of increase than the 2015 projections. With the current number of places available there will be a shortfall of 4 to 5 forms of entry in 2022/23. This reduces to 3-5 forms of entry in 2027/28. However, at this time there are a higher number of Year 7 places than required which is </w:t>
      </w:r>
      <w:r w:rsidRPr="00BB0A57">
        <w:rPr>
          <w:rFonts w:cs="Arial"/>
          <w:szCs w:val="24"/>
        </w:rPr>
        <w:lastRenderedPageBreak/>
        <w:t xml:space="preserve">resulting in vacancies being concentrated in a small number of </w:t>
      </w:r>
      <w:proofErr w:type="gramStart"/>
      <w:r w:rsidRPr="00BB0A57">
        <w:rPr>
          <w:rFonts w:cs="Arial"/>
          <w:szCs w:val="24"/>
        </w:rPr>
        <w:t>schools.</w:t>
      </w:r>
      <w:proofErr w:type="gramEnd"/>
      <w:r w:rsidR="000C088B">
        <w:rPr>
          <w:rFonts w:cs="Arial"/>
          <w:szCs w:val="24"/>
        </w:rPr>
        <w:t xml:space="preserve"> </w:t>
      </w:r>
      <w:r w:rsidRPr="00BB0A57">
        <w:rPr>
          <w:rFonts w:cs="Arial"/>
          <w:szCs w:val="24"/>
        </w:rPr>
        <w:t>It is proposed to slip the funding to 2019-20 and ensure that the situation is monitored and that once there is greater clarity about changes on the borough boundaries that a local solution to meet the growing need is developed with the High Schools.</w:t>
      </w:r>
    </w:p>
    <w:p w14:paraId="5B7AEC89" w14:textId="77777777" w:rsidR="009C30DF" w:rsidRDefault="009C30DF" w:rsidP="00BB0A57">
      <w:pPr>
        <w:pStyle w:val="ListParagraph"/>
        <w:ind w:left="786"/>
        <w:rPr>
          <w:rFonts w:cs="Arial"/>
          <w:szCs w:val="24"/>
        </w:rPr>
      </w:pPr>
    </w:p>
    <w:p w14:paraId="6B6A5F22" w14:textId="417C5FFB" w:rsidR="009C30DF" w:rsidRDefault="009C30DF" w:rsidP="00BB0A57">
      <w:pPr>
        <w:pStyle w:val="ListParagraph"/>
        <w:numPr>
          <w:ilvl w:val="0"/>
          <w:numId w:val="30"/>
        </w:numPr>
        <w:ind w:left="788" w:hanging="788"/>
        <w:jc w:val="both"/>
        <w:rPr>
          <w:rFonts w:cs="Arial"/>
          <w:szCs w:val="24"/>
        </w:rPr>
      </w:pPr>
      <w:r w:rsidRPr="009C30DF">
        <w:rPr>
          <w:rFonts w:cs="Arial"/>
          <w:szCs w:val="24"/>
        </w:rPr>
        <w:t xml:space="preserve">In relation to SEN provision, to meet the increasing need for places for children and young people with severe and complex needs with autism a free school proposal is being developed by three special school </w:t>
      </w:r>
      <w:proofErr w:type="spellStart"/>
      <w:r w:rsidRPr="009C30DF">
        <w:rPr>
          <w:rFonts w:cs="Arial"/>
          <w:szCs w:val="24"/>
        </w:rPr>
        <w:t>headteachers</w:t>
      </w:r>
      <w:proofErr w:type="spellEnd"/>
      <w:r w:rsidRPr="009C30DF">
        <w:rPr>
          <w:rFonts w:cs="Arial"/>
          <w:szCs w:val="24"/>
        </w:rPr>
        <w:t xml:space="preserve"> in Harrow for submission in the next wave of applications expected in the </w:t>
      </w:r>
      <w:proofErr w:type="gramStart"/>
      <w:r w:rsidRPr="009C30DF">
        <w:rPr>
          <w:rFonts w:cs="Arial"/>
          <w:szCs w:val="24"/>
        </w:rPr>
        <w:t>Autumn</w:t>
      </w:r>
      <w:proofErr w:type="gramEnd"/>
      <w:r w:rsidRPr="009C30DF">
        <w:rPr>
          <w:rFonts w:cs="Arial"/>
          <w:szCs w:val="24"/>
        </w:rPr>
        <w:t>. However, further work on analysing the needs of pupils with SEND and spend will be undertaken to inform future provision needs and any capital programme requirements. It is therefore proposed to slip this funding into next financial year once the scope of provision required is established and the outcome of the free school bid is known</w:t>
      </w:r>
      <w:r>
        <w:rPr>
          <w:rFonts w:cs="Arial"/>
          <w:szCs w:val="24"/>
        </w:rPr>
        <w:t>.</w:t>
      </w:r>
    </w:p>
    <w:p w14:paraId="62684AB9" w14:textId="77777777" w:rsidR="009C30DF" w:rsidRDefault="009C30DF" w:rsidP="00BB0A57">
      <w:pPr>
        <w:pStyle w:val="ListParagraph"/>
        <w:rPr>
          <w:rFonts w:cs="Arial"/>
          <w:szCs w:val="24"/>
        </w:rPr>
      </w:pPr>
    </w:p>
    <w:p w14:paraId="21DAE43B" w14:textId="6572698C" w:rsidR="009C30DF" w:rsidRDefault="009C30DF" w:rsidP="00BB0A57">
      <w:pPr>
        <w:pStyle w:val="ListParagraph"/>
        <w:rPr>
          <w:rFonts w:cs="Arial"/>
          <w:b/>
          <w:szCs w:val="24"/>
        </w:rPr>
      </w:pPr>
      <w:r w:rsidRPr="00BB0A57">
        <w:rPr>
          <w:rFonts w:cs="Arial"/>
          <w:b/>
          <w:szCs w:val="24"/>
        </w:rPr>
        <w:t>Underspends</w:t>
      </w:r>
    </w:p>
    <w:p w14:paraId="71480FF3" w14:textId="77777777" w:rsidR="009C30DF" w:rsidRPr="00DA71DF" w:rsidRDefault="009C30DF" w:rsidP="00BB0A57">
      <w:pPr>
        <w:pStyle w:val="ListParagraph"/>
        <w:rPr>
          <w:rFonts w:cs="Arial"/>
          <w:szCs w:val="24"/>
        </w:rPr>
      </w:pPr>
    </w:p>
    <w:p w14:paraId="109E561F" w14:textId="65A77ABA" w:rsidR="00771AC9" w:rsidRDefault="009C30DF" w:rsidP="00BB0A57">
      <w:pPr>
        <w:pStyle w:val="ListParagraph"/>
        <w:numPr>
          <w:ilvl w:val="0"/>
          <w:numId w:val="30"/>
        </w:numPr>
        <w:ind w:left="709" w:hanging="788"/>
        <w:jc w:val="both"/>
        <w:rPr>
          <w:rFonts w:cs="Arial"/>
          <w:szCs w:val="24"/>
        </w:rPr>
      </w:pPr>
      <w:r w:rsidRPr="00BB0A57">
        <w:rPr>
          <w:rFonts w:cs="Arial"/>
          <w:szCs w:val="24"/>
        </w:rPr>
        <w:t>SEN Provision £4.2m -The original budget for new SEN provision was set at £10.5m and included an assumption of external funding in 2018-19 of £6m from the Government’s capital Basic Need grant. However the LA did not receive an allocation of funding in 2018-19. It is therefore proposed to reduce the capital programme by £6m over 2017-18 and 2018-19. The remainder of the budget is proposed to slip into 2018-19 as per the paragraph above.</w:t>
      </w:r>
      <w:r w:rsidR="008F7767">
        <w:rPr>
          <w:rFonts w:cs="Arial"/>
          <w:szCs w:val="24"/>
        </w:rPr>
        <w:t xml:space="preserve">  </w:t>
      </w:r>
      <w:r w:rsidR="00771AC9">
        <w:rPr>
          <w:rFonts w:cs="Arial"/>
          <w:szCs w:val="24"/>
        </w:rPr>
        <w:t xml:space="preserve">This is not </w:t>
      </w:r>
      <w:r w:rsidR="005F3757">
        <w:rPr>
          <w:rFonts w:cs="Arial"/>
          <w:szCs w:val="24"/>
        </w:rPr>
        <w:t>committed</w:t>
      </w:r>
      <w:r w:rsidR="00771AC9">
        <w:rPr>
          <w:rFonts w:cs="Arial"/>
          <w:szCs w:val="24"/>
        </w:rPr>
        <w:t xml:space="preserve"> to a particular scheme and forms part of the scoping for SEN provision as set out in paragraph 3.30.</w:t>
      </w:r>
    </w:p>
    <w:p w14:paraId="655286EC" w14:textId="255A9145" w:rsidR="009C30DF" w:rsidRPr="00BB0A57" w:rsidRDefault="00771AC9" w:rsidP="00771AC9">
      <w:pPr>
        <w:pStyle w:val="ListParagraph"/>
        <w:ind w:left="709"/>
        <w:rPr>
          <w:rFonts w:cs="Arial"/>
          <w:szCs w:val="24"/>
        </w:rPr>
      </w:pPr>
      <w:r w:rsidRPr="009C30DF">
        <w:rPr>
          <w:rFonts w:cs="Arial"/>
          <w:szCs w:val="24"/>
        </w:rPr>
        <w:t xml:space="preserve"> </w:t>
      </w:r>
    </w:p>
    <w:p w14:paraId="333DED07" w14:textId="4F80E094" w:rsidR="009C30DF" w:rsidRDefault="009C30DF" w:rsidP="00BB0A57">
      <w:pPr>
        <w:pStyle w:val="ListParagraph"/>
        <w:numPr>
          <w:ilvl w:val="0"/>
          <w:numId w:val="30"/>
        </w:numPr>
        <w:ind w:left="709" w:hanging="788"/>
        <w:rPr>
          <w:rFonts w:cs="Arial"/>
          <w:b/>
          <w:szCs w:val="24"/>
        </w:rPr>
      </w:pPr>
      <w:r w:rsidRPr="00BB0A57">
        <w:rPr>
          <w:rFonts w:cs="Arial"/>
          <w:szCs w:val="24"/>
        </w:rPr>
        <w:t xml:space="preserve">Schemes at Marlborough and Whitmore partially funded by schools at net nil cost to the council. The original budget was estimated and as both schemes have now concluded the budget </w:t>
      </w:r>
      <w:r w:rsidR="00011B67">
        <w:rPr>
          <w:rFonts w:cs="Arial"/>
          <w:szCs w:val="24"/>
        </w:rPr>
        <w:t xml:space="preserve">of £225k </w:t>
      </w:r>
      <w:r w:rsidRPr="00BB0A57">
        <w:rPr>
          <w:rFonts w:cs="Arial"/>
          <w:szCs w:val="24"/>
        </w:rPr>
        <w:t>needs to be reduced to reflect the final outturn. This is offset by a reduction in the level of funding received from the school</w:t>
      </w:r>
      <w:r>
        <w:rPr>
          <w:rFonts w:cs="Arial"/>
          <w:b/>
          <w:szCs w:val="24"/>
        </w:rPr>
        <w:t>.</w:t>
      </w:r>
    </w:p>
    <w:p w14:paraId="7127E1D6" w14:textId="77777777" w:rsidR="001E2D71" w:rsidRPr="001E2D71" w:rsidRDefault="001E2D71" w:rsidP="001E2D71">
      <w:pPr>
        <w:pStyle w:val="ListParagraph"/>
        <w:rPr>
          <w:rFonts w:cs="Arial"/>
          <w:b/>
          <w:szCs w:val="24"/>
        </w:rPr>
      </w:pPr>
    </w:p>
    <w:p w14:paraId="20C56AA8" w14:textId="77777777" w:rsidR="00E210B9" w:rsidRDefault="00E210B9" w:rsidP="001E2D71">
      <w:pPr>
        <w:pStyle w:val="ListParagraph"/>
        <w:ind w:left="709"/>
        <w:rPr>
          <w:rFonts w:cs="Arial"/>
          <w:b/>
          <w:szCs w:val="24"/>
        </w:rPr>
      </w:pPr>
    </w:p>
    <w:p w14:paraId="335579A1" w14:textId="6E24B7EA" w:rsidR="001E2D71" w:rsidRDefault="001E2D71" w:rsidP="001E2D71">
      <w:pPr>
        <w:pStyle w:val="ListParagraph"/>
        <w:ind w:left="709"/>
        <w:rPr>
          <w:rFonts w:cs="Arial"/>
          <w:b/>
          <w:szCs w:val="24"/>
        </w:rPr>
      </w:pPr>
      <w:r>
        <w:rPr>
          <w:rFonts w:cs="Arial"/>
          <w:b/>
          <w:szCs w:val="24"/>
        </w:rPr>
        <w:t>AMENDMENT</w:t>
      </w:r>
      <w:r w:rsidR="006A0DA8">
        <w:rPr>
          <w:rFonts w:cs="Arial"/>
          <w:b/>
          <w:szCs w:val="24"/>
        </w:rPr>
        <w:t>S</w:t>
      </w:r>
      <w:r>
        <w:rPr>
          <w:rFonts w:cs="Arial"/>
          <w:b/>
          <w:szCs w:val="24"/>
        </w:rPr>
        <w:t xml:space="preserve"> TO </w:t>
      </w:r>
      <w:r w:rsidR="006A0DA8">
        <w:rPr>
          <w:rFonts w:cs="Arial"/>
          <w:b/>
          <w:szCs w:val="24"/>
        </w:rPr>
        <w:t xml:space="preserve">THE </w:t>
      </w:r>
      <w:r>
        <w:rPr>
          <w:rFonts w:cs="Arial"/>
          <w:b/>
          <w:szCs w:val="24"/>
        </w:rPr>
        <w:t>CAPITAL PROGRAMME</w:t>
      </w:r>
    </w:p>
    <w:p w14:paraId="72ED0E56" w14:textId="77777777" w:rsidR="001E2D71" w:rsidRDefault="001E2D71" w:rsidP="001E2D71">
      <w:pPr>
        <w:pStyle w:val="ListParagraph"/>
        <w:ind w:left="709"/>
        <w:rPr>
          <w:rFonts w:cs="Arial"/>
          <w:b/>
          <w:szCs w:val="24"/>
        </w:rPr>
      </w:pPr>
    </w:p>
    <w:p w14:paraId="0B4BF840" w14:textId="43F26C9D" w:rsidR="001E2D71" w:rsidRPr="001E2D71" w:rsidRDefault="001E2D71" w:rsidP="001E2D71">
      <w:pPr>
        <w:pStyle w:val="ListParagraph"/>
        <w:ind w:left="709"/>
        <w:rPr>
          <w:rFonts w:cs="Arial"/>
          <w:b/>
          <w:i/>
          <w:szCs w:val="24"/>
          <w:u w:val="single"/>
        </w:rPr>
      </w:pPr>
      <w:r w:rsidRPr="001E2D71">
        <w:rPr>
          <w:rFonts w:cs="Arial"/>
          <w:b/>
          <w:i/>
          <w:szCs w:val="24"/>
          <w:u w:val="single"/>
        </w:rPr>
        <w:t>Addition</w:t>
      </w:r>
      <w:r w:rsidR="00AE4D79">
        <w:rPr>
          <w:rFonts w:cs="Arial"/>
          <w:b/>
          <w:i/>
          <w:szCs w:val="24"/>
          <w:u w:val="single"/>
        </w:rPr>
        <w:t>s</w:t>
      </w:r>
      <w:r w:rsidRPr="001E2D71">
        <w:rPr>
          <w:rFonts w:cs="Arial"/>
          <w:b/>
          <w:i/>
          <w:szCs w:val="24"/>
          <w:u w:val="single"/>
        </w:rPr>
        <w:t xml:space="preserve"> to </w:t>
      </w:r>
      <w:r w:rsidR="00AE4D79">
        <w:rPr>
          <w:rFonts w:cs="Arial"/>
          <w:b/>
          <w:i/>
          <w:szCs w:val="24"/>
          <w:u w:val="single"/>
        </w:rPr>
        <w:t xml:space="preserve">the </w:t>
      </w:r>
      <w:r w:rsidRPr="001E2D71">
        <w:rPr>
          <w:rFonts w:cs="Arial"/>
          <w:b/>
          <w:i/>
          <w:szCs w:val="24"/>
          <w:u w:val="single"/>
        </w:rPr>
        <w:t>capital programme</w:t>
      </w:r>
    </w:p>
    <w:p w14:paraId="66AC3962" w14:textId="77777777" w:rsidR="001E2D71" w:rsidRPr="001E2D71" w:rsidRDefault="001E2D71" w:rsidP="001E2D71">
      <w:pPr>
        <w:pStyle w:val="ListParagraph"/>
        <w:rPr>
          <w:rFonts w:cs="Arial"/>
          <w:b/>
          <w:szCs w:val="24"/>
        </w:rPr>
      </w:pPr>
    </w:p>
    <w:p w14:paraId="43F69B2F" w14:textId="1981E581" w:rsidR="001E2D71" w:rsidRPr="007E751D" w:rsidRDefault="001E2D71" w:rsidP="00C97D07">
      <w:pPr>
        <w:pStyle w:val="ListParagraph"/>
        <w:numPr>
          <w:ilvl w:val="0"/>
          <w:numId w:val="30"/>
        </w:numPr>
        <w:ind w:left="709" w:hanging="786"/>
        <w:jc w:val="both"/>
        <w:rPr>
          <w:rFonts w:cs="Arial"/>
          <w:szCs w:val="24"/>
        </w:rPr>
      </w:pPr>
      <w:r w:rsidRPr="001E2D71">
        <w:rPr>
          <w:rFonts w:cs="Arial"/>
          <w:bCs/>
          <w:szCs w:val="24"/>
        </w:rPr>
        <w:t xml:space="preserve">Additional funding of £360k has been confirmed by </w:t>
      </w:r>
      <w:proofErr w:type="spellStart"/>
      <w:r w:rsidRPr="001E2D71">
        <w:rPr>
          <w:rFonts w:cs="Arial"/>
          <w:bCs/>
          <w:szCs w:val="24"/>
        </w:rPr>
        <w:t>TfL</w:t>
      </w:r>
      <w:proofErr w:type="spellEnd"/>
      <w:r w:rsidRPr="001E2D71">
        <w:rPr>
          <w:rFonts w:cs="Arial"/>
          <w:bCs/>
          <w:szCs w:val="24"/>
        </w:rPr>
        <w:t>, as part of 17/18 Local Implementation Plan, for implementing further bus priority schemes. The budget in the capital programme will therefore need to be increased by this sum to reflect the funding award.</w:t>
      </w:r>
    </w:p>
    <w:p w14:paraId="1D00E1A7" w14:textId="77777777" w:rsidR="007E751D" w:rsidRPr="007E751D" w:rsidRDefault="007E751D" w:rsidP="00696FE7">
      <w:pPr>
        <w:pStyle w:val="ListParagraph"/>
        <w:ind w:left="709"/>
        <w:jc w:val="both"/>
        <w:rPr>
          <w:rFonts w:cs="Arial"/>
          <w:szCs w:val="24"/>
        </w:rPr>
      </w:pPr>
    </w:p>
    <w:p w14:paraId="32951985" w14:textId="58F775A6" w:rsidR="007E751D" w:rsidRDefault="007E751D" w:rsidP="00C97D07">
      <w:pPr>
        <w:pStyle w:val="ListParagraph"/>
        <w:numPr>
          <w:ilvl w:val="0"/>
          <w:numId w:val="30"/>
        </w:numPr>
        <w:ind w:left="709" w:hanging="786"/>
        <w:jc w:val="both"/>
        <w:rPr>
          <w:rFonts w:cs="Arial"/>
          <w:szCs w:val="24"/>
        </w:rPr>
      </w:pPr>
      <w:r>
        <w:rPr>
          <w:rFonts w:cs="Arial"/>
          <w:szCs w:val="24"/>
        </w:rPr>
        <w:t>The Council has successfully secured Salix interest-free loan funding under Energy Efficiency Loan Scheme for a couple of schools to deliver lighting improvement works. The total value of these works is £</w:t>
      </w:r>
      <w:r w:rsidR="0054527B">
        <w:rPr>
          <w:rFonts w:cs="Arial"/>
          <w:szCs w:val="24"/>
        </w:rPr>
        <w:t>69</w:t>
      </w:r>
      <w:r>
        <w:rPr>
          <w:rFonts w:cs="Arial"/>
          <w:szCs w:val="24"/>
        </w:rPr>
        <w:t xml:space="preserve">k, of which one school will provide a lump sum contribution of £19k and the rest will be met from Salix funding. The schools will be responsible for the repayment of the Salix loan over eight years. An addition to the Community’s capital programme is required to accommodate the Carbon Reduction project.   </w:t>
      </w:r>
    </w:p>
    <w:p w14:paraId="3C3C4D46" w14:textId="77777777" w:rsidR="005C03A0" w:rsidRPr="005C03A0" w:rsidRDefault="005C03A0" w:rsidP="00696FE7">
      <w:pPr>
        <w:pStyle w:val="ListParagraph"/>
        <w:rPr>
          <w:rFonts w:cs="Arial"/>
          <w:szCs w:val="24"/>
        </w:rPr>
      </w:pPr>
    </w:p>
    <w:p w14:paraId="685C6930" w14:textId="6FA41744" w:rsidR="005C03A0" w:rsidRPr="007E751D" w:rsidRDefault="005C03A0" w:rsidP="00C97D07">
      <w:pPr>
        <w:pStyle w:val="ListParagraph"/>
        <w:numPr>
          <w:ilvl w:val="0"/>
          <w:numId w:val="30"/>
        </w:numPr>
        <w:ind w:left="709" w:hanging="786"/>
        <w:jc w:val="both"/>
        <w:rPr>
          <w:rFonts w:cs="Arial"/>
          <w:szCs w:val="24"/>
        </w:rPr>
      </w:pPr>
      <w:r w:rsidRPr="005C03A0">
        <w:rPr>
          <w:rFonts w:cs="Arial"/>
          <w:szCs w:val="24"/>
        </w:rPr>
        <w:t>S106 funding (received from the development of Valley Centre) is to be applied to provide sports facilities at Harrow Leisure Centre. This will include the purchase of a range of equipment to enable the provision of additional activities for young people. It is therefore proposed to increase the Leisure &amp; Libraries Infrastructure capital programme by £8k and the expenditure will be met by S106 funding</w:t>
      </w:r>
    </w:p>
    <w:p w14:paraId="6812E90E" w14:textId="77777777" w:rsidR="007E751D" w:rsidRPr="007E751D" w:rsidRDefault="007E751D" w:rsidP="00696FE7">
      <w:pPr>
        <w:ind w:left="-77"/>
        <w:jc w:val="both"/>
        <w:rPr>
          <w:rFonts w:cs="Arial"/>
          <w:szCs w:val="24"/>
        </w:rPr>
      </w:pPr>
    </w:p>
    <w:p w14:paraId="7D076C28" w14:textId="77777777" w:rsidR="000D325B" w:rsidRPr="001E2D71" w:rsidRDefault="000D325B" w:rsidP="00C97D07">
      <w:pPr>
        <w:pStyle w:val="ListParagraph"/>
        <w:ind w:left="709"/>
        <w:jc w:val="both"/>
        <w:rPr>
          <w:rFonts w:cs="Arial"/>
          <w:szCs w:val="24"/>
        </w:rPr>
      </w:pPr>
    </w:p>
    <w:p w14:paraId="1B36AD12" w14:textId="313752B0" w:rsidR="001E2D71" w:rsidRPr="000D325B" w:rsidRDefault="001E2D71" w:rsidP="00C97D07">
      <w:pPr>
        <w:pStyle w:val="ListParagraph"/>
        <w:numPr>
          <w:ilvl w:val="0"/>
          <w:numId w:val="30"/>
        </w:numPr>
        <w:ind w:left="709" w:hanging="786"/>
        <w:jc w:val="both"/>
        <w:rPr>
          <w:rFonts w:cs="Arial"/>
          <w:i/>
          <w:szCs w:val="24"/>
          <w:u w:val="single"/>
        </w:rPr>
      </w:pPr>
      <w:r w:rsidRPr="000D325B">
        <w:rPr>
          <w:rFonts w:cs="Arial"/>
          <w:bCs/>
          <w:iCs/>
          <w:szCs w:val="24"/>
        </w:rPr>
        <w:t>Cabinet is requested to increase the budget for Disabled Facilities Grants, currently £2,030k, by £500k to £2,530k to enable adaptations for private households to be carried out in financial year 2017-18 which will support the achievement of approved MTFS revenue savings. This is fully funded by external fund received as part of the Better Care Funding arrangement</w:t>
      </w:r>
      <w:r w:rsidRPr="000D325B">
        <w:rPr>
          <w:rFonts w:cs="Arial"/>
          <w:b/>
          <w:bCs/>
          <w:iCs/>
          <w:szCs w:val="24"/>
        </w:rPr>
        <w:t>.</w:t>
      </w:r>
    </w:p>
    <w:p w14:paraId="7D95018E" w14:textId="77777777" w:rsidR="000D325B" w:rsidRPr="000D325B" w:rsidRDefault="000D325B" w:rsidP="00C97D07">
      <w:pPr>
        <w:pStyle w:val="ListParagraph"/>
        <w:jc w:val="both"/>
        <w:rPr>
          <w:rFonts w:cs="Arial"/>
          <w:i/>
          <w:szCs w:val="24"/>
          <w:u w:val="single"/>
        </w:rPr>
      </w:pPr>
    </w:p>
    <w:p w14:paraId="326C0820" w14:textId="4BD3EFD7" w:rsidR="000D325B" w:rsidRPr="000D325B" w:rsidRDefault="000D325B" w:rsidP="00C97D07">
      <w:pPr>
        <w:pStyle w:val="ListParagraph"/>
        <w:numPr>
          <w:ilvl w:val="0"/>
          <w:numId w:val="30"/>
        </w:numPr>
        <w:ind w:left="709" w:hanging="786"/>
        <w:jc w:val="both"/>
        <w:rPr>
          <w:rFonts w:cs="Arial"/>
          <w:szCs w:val="24"/>
        </w:rPr>
      </w:pPr>
      <w:r w:rsidRPr="000D325B">
        <w:rPr>
          <w:rFonts w:cs="Arial"/>
          <w:szCs w:val="24"/>
        </w:rPr>
        <w:t>An addition to the Children’s capital programme is required to facilitate upgrade works at The Firs Short Break Residential Centre totalling £32k. This will be funded by external funding</w:t>
      </w:r>
    </w:p>
    <w:p w14:paraId="7DCA5FC1" w14:textId="77777777" w:rsidR="000D325B" w:rsidRPr="000D325B" w:rsidRDefault="000D325B" w:rsidP="000D325B">
      <w:pPr>
        <w:pStyle w:val="ListParagraph"/>
        <w:ind w:left="709"/>
        <w:rPr>
          <w:rFonts w:cs="Arial"/>
          <w:i/>
          <w:szCs w:val="24"/>
          <w:u w:val="single"/>
        </w:rPr>
      </w:pPr>
    </w:p>
    <w:p w14:paraId="3D12B472" w14:textId="11598E65" w:rsidR="001E2D71" w:rsidRDefault="001E2D71" w:rsidP="001E2D71">
      <w:pPr>
        <w:pStyle w:val="ListParagraph"/>
        <w:ind w:left="709"/>
        <w:rPr>
          <w:rFonts w:cs="Arial"/>
          <w:b/>
          <w:i/>
          <w:szCs w:val="24"/>
          <w:u w:val="single"/>
        </w:rPr>
      </w:pPr>
      <w:r w:rsidRPr="001E2D71">
        <w:rPr>
          <w:rFonts w:cs="Arial"/>
          <w:b/>
          <w:i/>
          <w:szCs w:val="24"/>
          <w:u w:val="single"/>
        </w:rPr>
        <w:t xml:space="preserve">Reduction to </w:t>
      </w:r>
      <w:r w:rsidR="006A0DA8">
        <w:rPr>
          <w:rFonts w:cs="Arial"/>
          <w:b/>
          <w:i/>
          <w:szCs w:val="24"/>
          <w:u w:val="single"/>
        </w:rPr>
        <w:t>the</w:t>
      </w:r>
      <w:r w:rsidR="00AE4D79">
        <w:rPr>
          <w:rFonts w:cs="Arial"/>
          <w:b/>
          <w:i/>
          <w:szCs w:val="24"/>
          <w:u w:val="single"/>
        </w:rPr>
        <w:t xml:space="preserve"> </w:t>
      </w:r>
      <w:r w:rsidRPr="001E2D71">
        <w:rPr>
          <w:rFonts w:cs="Arial"/>
          <w:b/>
          <w:i/>
          <w:szCs w:val="24"/>
          <w:u w:val="single"/>
        </w:rPr>
        <w:t>capital programme</w:t>
      </w:r>
    </w:p>
    <w:p w14:paraId="1B9A446A" w14:textId="77777777" w:rsidR="001E2D71" w:rsidRPr="001E2D71" w:rsidRDefault="001E2D71" w:rsidP="001E2D71">
      <w:pPr>
        <w:pStyle w:val="ListParagraph"/>
        <w:ind w:left="709"/>
        <w:rPr>
          <w:rFonts w:cs="Arial"/>
          <w:b/>
          <w:i/>
          <w:szCs w:val="24"/>
          <w:u w:val="single"/>
        </w:rPr>
      </w:pPr>
    </w:p>
    <w:p w14:paraId="3D4ED301" w14:textId="3C035AA1" w:rsidR="001E2D71" w:rsidRPr="000D325B" w:rsidRDefault="001E2D71" w:rsidP="00C97D07">
      <w:pPr>
        <w:pStyle w:val="ListParagraph"/>
        <w:numPr>
          <w:ilvl w:val="0"/>
          <w:numId w:val="30"/>
        </w:numPr>
        <w:ind w:left="709" w:hanging="788"/>
        <w:jc w:val="both"/>
        <w:rPr>
          <w:rFonts w:cs="Arial"/>
          <w:szCs w:val="24"/>
        </w:rPr>
      </w:pPr>
      <w:r w:rsidRPr="001E2D71">
        <w:rPr>
          <w:rFonts w:cs="Arial"/>
          <w:bCs/>
          <w:szCs w:val="24"/>
        </w:rPr>
        <w:t xml:space="preserve">In the current capital programme, there is an assumed </w:t>
      </w:r>
      <w:proofErr w:type="spellStart"/>
      <w:r w:rsidRPr="001E2D71">
        <w:rPr>
          <w:rFonts w:cs="Arial"/>
          <w:bCs/>
          <w:szCs w:val="24"/>
        </w:rPr>
        <w:t>TfL</w:t>
      </w:r>
      <w:proofErr w:type="spellEnd"/>
      <w:r w:rsidRPr="001E2D71">
        <w:rPr>
          <w:rFonts w:cs="Arial"/>
          <w:bCs/>
          <w:szCs w:val="24"/>
        </w:rPr>
        <w:t xml:space="preserve"> funding of £12m and £8m in 17/18 and 18/19 respectively for the step-free access project at Harrow on the Hill Station. It is anticipated that </w:t>
      </w:r>
      <w:proofErr w:type="spellStart"/>
      <w:r w:rsidRPr="001E2D71">
        <w:rPr>
          <w:rFonts w:cs="Arial"/>
          <w:bCs/>
          <w:szCs w:val="24"/>
        </w:rPr>
        <w:t>TfL</w:t>
      </w:r>
      <w:proofErr w:type="spellEnd"/>
      <w:r w:rsidRPr="001E2D71">
        <w:rPr>
          <w:rFonts w:cs="Arial"/>
          <w:bCs/>
          <w:szCs w:val="24"/>
        </w:rPr>
        <w:t xml:space="preserve"> will deliver the project directly, with the Council providing a capital grant as a financial contribution towards the project. It is therefore proposed that the </w:t>
      </w:r>
      <w:proofErr w:type="spellStart"/>
      <w:r w:rsidRPr="001E2D71">
        <w:rPr>
          <w:rFonts w:cs="Arial"/>
          <w:bCs/>
          <w:szCs w:val="24"/>
        </w:rPr>
        <w:t>TfL</w:t>
      </w:r>
      <w:proofErr w:type="spellEnd"/>
      <w:r w:rsidRPr="001E2D71">
        <w:rPr>
          <w:rFonts w:cs="Arial"/>
          <w:bCs/>
          <w:szCs w:val="24"/>
        </w:rPr>
        <w:t xml:space="preserve"> element of the funding is removed from the capital programme as the Council will not receive this funding from </w:t>
      </w:r>
      <w:proofErr w:type="spellStart"/>
      <w:r w:rsidRPr="001E2D71">
        <w:rPr>
          <w:rFonts w:cs="Arial"/>
          <w:bCs/>
          <w:szCs w:val="24"/>
        </w:rPr>
        <w:t>TfL</w:t>
      </w:r>
      <w:proofErr w:type="spellEnd"/>
      <w:r w:rsidRPr="001E2D71">
        <w:rPr>
          <w:rFonts w:cs="Arial"/>
          <w:bCs/>
          <w:szCs w:val="24"/>
        </w:rPr>
        <w:t>.</w:t>
      </w:r>
    </w:p>
    <w:p w14:paraId="25DBE6CD" w14:textId="77777777" w:rsidR="000D325B" w:rsidRDefault="000D325B" w:rsidP="000D325B">
      <w:pPr>
        <w:pStyle w:val="ListParagraph"/>
        <w:ind w:left="709"/>
        <w:rPr>
          <w:rFonts w:cs="Arial"/>
          <w:b/>
          <w:bCs/>
          <w:i/>
          <w:szCs w:val="24"/>
          <w:u w:val="single"/>
        </w:rPr>
      </w:pPr>
    </w:p>
    <w:p w14:paraId="7C14E9D4" w14:textId="2DAECC2F" w:rsidR="000D325B" w:rsidRDefault="000D325B" w:rsidP="000D325B">
      <w:pPr>
        <w:pStyle w:val="ListParagraph"/>
        <w:ind w:left="709"/>
        <w:rPr>
          <w:rFonts w:cs="Arial"/>
          <w:b/>
          <w:bCs/>
          <w:i/>
          <w:szCs w:val="24"/>
          <w:u w:val="single"/>
        </w:rPr>
      </w:pPr>
      <w:r w:rsidRPr="000D325B">
        <w:rPr>
          <w:rFonts w:cs="Arial"/>
          <w:b/>
          <w:bCs/>
          <w:i/>
          <w:szCs w:val="24"/>
          <w:u w:val="single"/>
        </w:rPr>
        <w:t xml:space="preserve">Capital budget </w:t>
      </w:r>
      <w:proofErr w:type="spellStart"/>
      <w:r w:rsidRPr="000D325B">
        <w:rPr>
          <w:rFonts w:cs="Arial"/>
          <w:b/>
          <w:bCs/>
          <w:i/>
          <w:szCs w:val="24"/>
          <w:u w:val="single"/>
        </w:rPr>
        <w:t>virement</w:t>
      </w:r>
      <w:proofErr w:type="spellEnd"/>
    </w:p>
    <w:p w14:paraId="12F07B1B" w14:textId="77777777" w:rsidR="000D325B" w:rsidRPr="000D325B" w:rsidRDefault="000D325B" w:rsidP="000D325B">
      <w:pPr>
        <w:pStyle w:val="ListParagraph"/>
        <w:ind w:left="709"/>
        <w:rPr>
          <w:rFonts w:cs="Arial"/>
          <w:b/>
          <w:i/>
          <w:szCs w:val="24"/>
          <w:u w:val="single"/>
        </w:rPr>
      </w:pPr>
    </w:p>
    <w:p w14:paraId="078B4412" w14:textId="64C27431" w:rsidR="000D325B" w:rsidRDefault="000D325B" w:rsidP="00C97D07">
      <w:pPr>
        <w:pStyle w:val="ListParagraph"/>
        <w:numPr>
          <w:ilvl w:val="0"/>
          <w:numId w:val="30"/>
        </w:numPr>
        <w:ind w:left="788" w:hanging="788"/>
        <w:jc w:val="both"/>
        <w:rPr>
          <w:rFonts w:cs="Arial"/>
          <w:szCs w:val="24"/>
        </w:rPr>
      </w:pPr>
      <w:r w:rsidRPr="000D325B">
        <w:rPr>
          <w:rFonts w:cs="Arial"/>
          <w:szCs w:val="24"/>
        </w:rPr>
        <w:t xml:space="preserve">As part of the 2017/18 capital programme, £1.470m budget was allocated for the repair of Harrow Art Centre roof. However the actual cost of repair is now been projected at £470k. It is proposed that </w:t>
      </w:r>
      <w:proofErr w:type="gramStart"/>
      <w:r w:rsidRPr="000D325B">
        <w:rPr>
          <w:rFonts w:cs="Arial"/>
          <w:szCs w:val="24"/>
        </w:rPr>
        <w:t>the underspend</w:t>
      </w:r>
      <w:proofErr w:type="gramEnd"/>
      <w:r w:rsidRPr="000D325B">
        <w:rPr>
          <w:rFonts w:cs="Arial"/>
          <w:szCs w:val="24"/>
        </w:rPr>
        <w:t xml:space="preserve"> of £1m be added to the £5.8m budget that was reported at outturn as the budget that can be reallocated to alternative projects.</w:t>
      </w:r>
    </w:p>
    <w:p w14:paraId="389B7DBC" w14:textId="77777777" w:rsidR="006A0DA8" w:rsidRDefault="006A0DA8" w:rsidP="006A0DA8">
      <w:pPr>
        <w:pStyle w:val="ListParagraph"/>
        <w:ind w:left="788"/>
        <w:jc w:val="both"/>
        <w:rPr>
          <w:rFonts w:cs="Arial"/>
          <w:szCs w:val="24"/>
        </w:rPr>
      </w:pPr>
    </w:p>
    <w:p w14:paraId="76E42367" w14:textId="77777777" w:rsidR="00AE4D79" w:rsidRDefault="00AE4D79" w:rsidP="006A0DA8">
      <w:pPr>
        <w:pStyle w:val="ListParagraph"/>
        <w:ind w:left="788"/>
        <w:jc w:val="both"/>
        <w:rPr>
          <w:rFonts w:cs="Arial"/>
          <w:b/>
          <w:szCs w:val="24"/>
        </w:rPr>
      </w:pPr>
    </w:p>
    <w:p w14:paraId="2C9FBE18" w14:textId="77777777" w:rsidR="00E00835" w:rsidRDefault="00E00835" w:rsidP="006A0DA8">
      <w:pPr>
        <w:pStyle w:val="ListParagraph"/>
        <w:ind w:left="788"/>
        <w:jc w:val="both"/>
        <w:rPr>
          <w:rFonts w:cs="Arial"/>
          <w:b/>
          <w:szCs w:val="24"/>
        </w:rPr>
      </w:pPr>
    </w:p>
    <w:p w14:paraId="2DA781F5" w14:textId="3274FCC3" w:rsidR="006A0DA8" w:rsidRDefault="006A0DA8" w:rsidP="006A0DA8">
      <w:pPr>
        <w:pStyle w:val="ListParagraph"/>
        <w:ind w:left="788"/>
        <w:jc w:val="both"/>
        <w:rPr>
          <w:rFonts w:cs="Arial"/>
          <w:b/>
          <w:szCs w:val="24"/>
        </w:rPr>
      </w:pPr>
      <w:r w:rsidRPr="006A0DA8">
        <w:rPr>
          <w:rFonts w:cs="Arial"/>
          <w:b/>
          <w:szCs w:val="24"/>
        </w:rPr>
        <w:t>C</w:t>
      </w:r>
      <w:r w:rsidR="00C26AEB">
        <w:rPr>
          <w:rFonts w:cs="Arial"/>
          <w:b/>
          <w:szCs w:val="24"/>
        </w:rPr>
        <w:t>ONCILIUM BUSINESS SERVICES</w:t>
      </w:r>
    </w:p>
    <w:p w14:paraId="5A2AD789" w14:textId="77777777" w:rsidR="006A0DA8" w:rsidRPr="006A0DA8" w:rsidRDefault="006A0DA8" w:rsidP="006A0DA8">
      <w:pPr>
        <w:pStyle w:val="ListParagraph"/>
        <w:ind w:left="788"/>
        <w:jc w:val="both"/>
        <w:rPr>
          <w:rFonts w:cs="Arial"/>
          <w:b/>
          <w:szCs w:val="24"/>
        </w:rPr>
      </w:pPr>
    </w:p>
    <w:p w14:paraId="3D06EAE5" w14:textId="33C2BBC5" w:rsidR="006A0DA8" w:rsidRPr="00E00835" w:rsidRDefault="006A0DA8" w:rsidP="006A0DA8">
      <w:pPr>
        <w:pStyle w:val="ListParagraph"/>
        <w:numPr>
          <w:ilvl w:val="0"/>
          <w:numId w:val="30"/>
        </w:numPr>
        <w:ind w:left="788" w:hanging="786"/>
        <w:jc w:val="both"/>
        <w:rPr>
          <w:rFonts w:cs="Arial"/>
          <w:szCs w:val="24"/>
        </w:rPr>
      </w:pPr>
      <w:r w:rsidRPr="005D0C5B">
        <w:t xml:space="preserve">The Quarter </w:t>
      </w:r>
      <w:r w:rsidR="005D0C5B" w:rsidRPr="005D0C5B">
        <w:t>1 forecast currently shows t</w:t>
      </w:r>
      <w:r w:rsidR="00C26AEB">
        <w:t xml:space="preserve">hat </w:t>
      </w:r>
      <w:proofErr w:type="spellStart"/>
      <w:r w:rsidR="00C26AEB">
        <w:t>Concilium</w:t>
      </w:r>
      <w:proofErr w:type="spellEnd"/>
      <w:r w:rsidR="00C26AEB">
        <w:t xml:space="preserve"> Business Services</w:t>
      </w:r>
      <w:r w:rsidR="005D0C5B" w:rsidRPr="005D0C5B">
        <w:t xml:space="preserve"> </w:t>
      </w:r>
      <w:r w:rsidR="005D0C5B">
        <w:t>is</w:t>
      </w:r>
      <w:r w:rsidR="005D0C5B" w:rsidRPr="005D0C5B">
        <w:t xml:space="preserve"> on target to achieve the business plan. A refresh of the forecast and longer term business plan will be presented in the Q2 report to cabinet in December 2017. </w:t>
      </w:r>
    </w:p>
    <w:p w14:paraId="074C6C6C" w14:textId="77777777" w:rsidR="00E00835" w:rsidRPr="005D0C5B" w:rsidRDefault="00E00835" w:rsidP="00E00835">
      <w:pPr>
        <w:pStyle w:val="ListParagraph"/>
        <w:ind w:left="788"/>
        <w:jc w:val="both"/>
        <w:rPr>
          <w:rFonts w:cs="Arial"/>
          <w:szCs w:val="24"/>
        </w:rPr>
      </w:pPr>
    </w:p>
    <w:p w14:paraId="5805BC8E" w14:textId="77777777" w:rsidR="005D0C5B" w:rsidRDefault="005D0C5B" w:rsidP="005D0C5B">
      <w:pPr>
        <w:pStyle w:val="ListParagraph"/>
        <w:ind w:left="788"/>
        <w:jc w:val="both"/>
        <w:rPr>
          <w:rFonts w:cs="Arial"/>
          <w:szCs w:val="24"/>
        </w:rPr>
      </w:pPr>
    </w:p>
    <w:p w14:paraId="248FAD0A" w14:textId="77777777" w:rsidR="004C6220" w:rsidRDefault="004C6220" w:rsidP="005D0C5B">
      <w:pPr>
        <w:pStyle w:val="ListParagraph"/>
        <w:ind w:left="788"/>
        <w:jc w:val="both"/>
        <w:rPr>
          <w:rFonts w:cs="Arial"/>
          <w:szCs w:val="24"/>
        </w:rPr>
      </w:pPr>
    </w:p>
    <w:p w14:paraId="397D9E4E" w14:textId="77777777" w:rsidR="004C6220" w:rsidRDefault="004C6220" w:rsidP="005D0C5B">
      <w:pPr>
        <w:pStyle w:val="ListParagraph"/>
        <w:ind w:left="788"/>
        <w:jc w:val="both"/>
        <w:rPr>
          <w:rFonts w:cs="Arial"/>
          <w:szCs w:val="24"/>
        </w:rPr>
      </w:pPr>
    </w:p>
    <w:p w14:paraId="232ED9EC" w14:textId="77777777" w:rsidR="004C6220" w:rsidRPr="005D0C5B" w:rsidRDefault="004C6220" w:rsidP="005D0C5B">
      <w:pPr>
        <w:pStyle w:val="ListParagraph"/>
        <w:ind w:left="788"/>
        <w:jc w:val="both"/>
        <w:rPr>
          <w:rFonts w:cs="Arial"/>
          <w:szCs w:val="24"/>
        </w:rPr>
      </w:pPr>
    </w:p>
    <w:bookmarkEnd w:id="0"/>
    <w:p w14:paraId="7C5555B3" w14:textId="413481F5" w:rsidR="00741AEB" w:rsidRPr="009E22B0" w:rsidRDefault="009C30DF" w:rsidP="00FC2412">
      <w:pPr>
        <w:autoSpaceDE w:val="0"/>
        <w:autoSpaceDN w:val="0"/>
        <w:adjustRightInd w:val="0"/>
        <w:spacing w:after="240"/>
        <w:jc w:val="both"/>
        <w:rPr>
          <w:b/>
          <w:sz w:val="28"/>
          <w:szCs w:val="28"/>
        </w:rPr>
      </w:pPr>
      <w:r>
        <w:rPr>
          <w:b/>
          <w:sz w:val="28"/>
          <w:szCs w:val="28"/>
        </w:rPr>
        <w:lastRenderedPageBreak/>
        <w:t>4</w:t>
      </w:r>
      <w:r w:rsidR="0020754A" w:rsidRPr="00835EA0">
        <w:rPr>
          <w:sz w:val="28"/>
          <w:szCs w:val="28"/>
        </w:rPr>
        <w:t>.</w:t>
      </w:r>
      <w:r w:rsidR="00C71B6A">
        <w:rPr>
          <w:szCs w:val="24"/>
        </w:rPr>
        <w:t xml:space="preserve">  </w:t>
      </w:r>
      <w:r w:rsidR="005E0EC3" w:rsidRPr="009E22B0">
        <w:rPr>
          <w:b/>
          <w:sz w:val="28"/>
          <w:szCs w:val="28"/>
        </w:rPr>
        <w:t>Legal Implication</w:t>
      </w:r>
      <w:r w:rsidR="009102CE">
        <w:rPr>
          <w:b/>
          <w:sz w:val="28"/>
          <w:szCs w:val="28"/>
        </w:rPr>
        <w:t>s</w:t>
      </w:r>
    </w:p>
    <w:p w14:paraId="70C5BE44" w14:textId="50381019" w:rsidR="005E0EC3" w:rsidRDefault="005E0EC3" w:rsidP="003D61E1">
      <w:pPr>
        <w:pStyle w:val="ListParagraph"/>
        <w:numPr>
          <w:ilvl w:val="0"/>
          <w:numId w:val="26"/>
        </w:numPr>
        <w:spacing w:after="120"/>
        <w:ind w:hanging="720"/>
        <w:jc w:val="both"/>
      </w:pPr>
      <w:r w:rsidRPr="005E0EC3">
        <w:t xml:space="preserve">Section 151 of the Local Government Act 1972 states that without prejudice to section 111, every local authority shall make arrangements </w:t>
      </w:r>
      <w:r w:rsidR="00720057">
        <w:t>f</w:t>
      </w:r>
      <w:r w:rsidRPr="005E0EC3">
        <w:t>or the proper administration of their financial affairs and shall secure that one of their officers has responsibility for the administration of those affairs”. Section 28 of the Local Government Act 2003 imposes a</w:t>
      </w:r>
      <w:r w:rsidR="0020754A">
        <w:tab/>
      </w:r>
      <w:r w:rsidRPr="005E0EC3">
        <w:t xml:space="preserve">statutory duty on a billing or major </w:t>
      </w:r>
      <w:proofErr w:type="spellStart"/>
      <w:r w:rsidRPr="005E0EC3">
        <w:t>precepting</w:t>
      </w:r>
      <w:proofErr w:type="spellEnd"/>
      <w:r w:rsidRPr="005E0EC3">
        <w:t xml:space="preserve"> authority to monitor,</w:t>
      </w:r>
      <w:r w:rsidR="0020754A">
        <w:tab/>
      </w:r>
      <w:r w:rsidRPr="005E0EC3">
        <w:t>during the financial year, its income and expenditure against budget</w:t>
      </w:r>
      <w:r w:rsidR="00720057">
        <w:t xml:space="preserve"> </w:t>
      </w:r>
      <w:r w:rsidRPr="005E0EC3">
        <w:t>calculations</w:t>
      </w:r>
      <w:r>
        <w:t>.</w:t>
      </w:r>
    </w:p>
    <w:p w14:paraId="67603C1E" w14:textId="0E5A5441" w:rsidR="0067437D" w:rsidRDefault="0067437D" w:rsidP="003D61E1">
      <w:pPr>
        <w:pStyle w:val="ListParagraph"/>
        <w:numPr>
          <w:ilvl w:val="0"/>
          <w:numId w:val="26"/>
        </w:numPr>
        <w:spacing w:after="120"/>
        <w:ind w:hanging="720"/>
        <w:jc w:val="both"/>
      </w:pPr>
      <w:r w:rsidRPr="0067437D">
        <w:t>Under the Council’s Financial Regulation B48 Additions in year to the Capital Programme up to £500,000 additional capital spending can be approved by Cabinet on specific projects where the expenditure is wholly covered by additional external sources; and the expenditure is in accordance with at least one of the priorities listed in the capital programme; and there are no significant full year revenue budget effects. The additional capital spending agreed by Cabinet in one financial year cannot exceed £2.5million</w:t>
      </w:r>
      <w:r>
        <w:t>.</w:t>
      </w:r>
    </w:p>
    <w:p w14:paraId="7B3429F1" w14:textId="23540EB1" w:rsidR="004C134F" w:rsidRDefault="004C134F" w:rsidP="00D55D81">
      <w:pPr>
        <w:pStyle w:val="ListParagraph"/>
        <w:spacing w:after="120"/>
        <w:ind w:left="709"/>
        <w:jc w:val="both"/>
      </w:pPr>
    </w:p>
    <w:p w14:paraId="4720DE6C" w14:textId="60498BD7" w:rsidR="005E0EC3" w:rsidRPr="00D341B1" w:rsidRDefault="009C30DF">
      <w:pPr>
        <w:spacing w:after="240"/>
        <w:rPr>
          <w:b/>
          <w:sz w:val="28"/>
          <w:szCs w:val="28"/>
        </w:rPr>
      </w:pPr>
      <w:r>
        <w:rPr>
          <w:b/>
          <w:sz w:val="28"/>
          <w:szCs w:val="28"/>
        </w:rPr>
        <w:t>5</w:t>
      </w:r>
      <w:r w:rsidR="00835EA0">
        <w:rPr>
          <w:b/>
          <w:sz w:val="28"/>
          <w:szCs w:val="28"/>
        </w:rPr>
        <w:t xml:space="preserve">. </w:t>
      </w:r>
      <w:r w:rsidR="005E0EC3" w:rsidRPr="00D341B1">
        <w:rPr>
          <w:b/>
          <w:sz w:val="28"/>
          <w:szCs w:val="28"/>
        </w:rPr>
        <w:t>Equalities</w:t>
      </w:r>
    </w:p>
    <w:p w14:paraId="5301B810" w14:textId="149920CC" w:rsidR="00741AEB" w:rsidRPr="00374CD9" w:rsidRDefault="00741AEB" w:rsidP="003D61E1">
      <w:pPr>
        <w:pStyle w:val="ListParagraph"/>
        <w:numPr>
          <w:ilvl w:val="1"/>
          <w:numId w:val="6"/>
        </w:numPr>
        <w:spacing w:after="240"/>
        <w:ind w:left="709" w:hanging="709"/>
        <w:jc w:val="both"/>
      </w:pPr>
      <w:r w:rsidRPr="00374CD9">
        <w:t xml:space="preserve">Decision makers should have due regard to the public sector equality </w:t>
      </w:r>
      <w:r w:rsidR="0020754A">
        <w:tab/>
      </w:r>
      <w:r w:rsidRPr="00374CD9">
        <w:t xml:space="preserve">duty in making their decisions. The equalities duties are continuing </w:t>
      </w:r>
      <w:r w:rsidR="0020754A">
        <w:tab/>
      </w:r>
      <w:r w:rsidRPr="00374CD9">
        <w:t xml:space="preserve">duties they are not duties to secure a particular outcome. The </w:t>
      </w:r>
      <w:r w:rsidR="0020754A">
        <w:tab/>
      </w:r>
      <w:r w:rsidRPr="00374CD9">
        <w:t xml:space="preserve">equalities impact will be revisited on each of the proposals as they are developed. Consideration of the duties should precede the decision. It </w:t>
      </w:r>
      <w:r w:rsidR="0020754A">
        <w:tab/>
      </w:r>
      <w:r w:rsidRPr="00374CD9">
        <w:t xml:space="preserve">is important that Cabinet has regard to the statutory grounds in the light </w:t>
      </w:r>
      <w:r w:rsidR="0020754A">
        <w:tab/>
      </w:r>
      <w:r w:rsidRPr="00374CD9">
        <w:t xml:space="preserve">of all available material such as consultation responses. The statutory </w:t>
      </w:r>
      <w:r w:rsidR="0020754A">
        <w:tab/>
      </w:r>
      <w:r w:rsidRPr="00374CD9">
        <w:t xml:space="preserve">grounds of the public sector equality duty are found at section 149 of </w:t>
      </w:r>
      <w:r w:rsidR="00720057">
        <w:t>t</w:t>
      </w:r>
      <w:r w:rsidRPr="00374CD9">
        <w:t>he Equality Act 2010 and are as follows:</w:t>
      </w:r>
    </w:p>
    <w:p w14:paraId="03FF2E0F" w14:textId="261293CF" w:rsidR="00741AEB" w:rsidRPr="0020754A" w:rsidRDefault="0020754A" w:rsidP="003D61E1">
      <w:pPr>
        <w:pStyle w:val="ListParagraph"/>
        <w:numPr>
          <w:ilvl w:val="1"/>
          <w:numId w:val="6"/>
        </w:numPr>
        <w:spacing w:after="240"/>
        <w:ind w:left="709" w:hanging="709"/>
        <w:jc w:val="both"/>
        <w:rPr>
          <w:szCs w:val="24"/>
        </w:rPr>
      </w:pPr>
      <w:r>
        <w:t xml:space="preserve"> </w:t>
      </w:r>
      <w:r w:rsidR="00741AEB" w:rsidRPr="00374CD9">
        <w:t>A public authority must, in the exercise of its functions, have due regard to the</w:t>
      </w:r>
      <w:r w:rsidR="00741AEB" w:rsidRPr="0020754A">
        <w:rPr>
          <w:szCs w:val="24"/>
        </w:rPr>
        <w:t xml:space="preserve"> need to:</w:t>
      </w:r>
    </w:p>
    <w:p w14:paraId="6F96ACAB" w14:textId="77777777" w:rsidR="00741AEB" w:rsidRPr="008B25B2" w:rsidRDefault="00751215" w:rsidP="003D61E1">
      <w:pPr>
        <w:pStyle w:val="ListParagraph"/>
        <w:numPr>
          <w:ilvl w:val="0"/>
          <w:numId w:val="9"/>
        </w:numPr>
        <w:spacing w:after="120"/>
        <w:jc w:val="both"/>
        <w:rPr>
          <w:szCs w:val="24"/>
        </w:rPr>
      </w:pPr>
      <w:r>
        <w:rPr>
          <w:szCs w:val="24"/>
        </w:rPr>
        <w:t>E</w:t>
      </w:r>
      <w:r w:rsidR="00741AEB" w:rsidRPr="006B1DE1">
        <w:rPr>
          <w:szCs w:val="24"/>
        </w:rPr>
        <w:t xml:space="preserve">liminate discrimination, harassment, victimisation and any other </w:t>
      </w:r>
      <w:r w:rsidR="00741AEB" w:rsidRPr="00440EBF">
        <w:rPr>
          <w:szCs w:val="24"/>
        </w:rPr>
        <w:t>conduct that is prohibited by or under this Act;</w:t>
      </w:r>
    </w:p>
    <w:p w14:paraId="026B174F" w14:textId="77777777" w:rsidR="00741AEB" w:rsidRPr="008D4ADA" w:rsidRDefault="00751215" w:rsidP="003D61E1">
      <w:pPr>
        <w:pStyle w:val="ListParagraph"/>
        <w:numPr>
          <w:ilvl w:val="0"/>
          <w:numId w:val="9"/>
        </w:numPr>
        <w:spacing w:after="120"/>
        <w:jc w:val="both"/>
        <w:rPr>
          <w:szCs w:val="24"/>
        </w:rPr>
      </w:pPr>
      <w:r w:rsidRPr="003728EE">
        <w:rPr>
          <w:szCs w:val="24"/>
        </w:rPr>
        <w:t>A</w:t>
      </w:r>
      <w:r w:rsidR="00741AEB" w:rsidRPr="008D4ADA">
        <w:rPr>
          <w:szCs w:val="24"/>
        </w:rPr>
        <w:t>dvance equality of opportunity between persons who share a relevant protected characteristic and persons who do not share it;</w:t>
      </w:r>
    </w:p>
    <w:p w14:paraId="6169D67D" w14:textId="77777777" w:rsidR="00741AEB" w:rsidRPr="009E22B0" w:rsidRDefault="0039329E" w:rsidP="003D61E1">
      <w:pPr>
        <w:pStyle w:val="ListParagraph"/>
        <w:numPr>
          <w:ilvl w:val="0"/>
          <w:numId w:val="9"/>
        </w:numPr>
        <w:spacing w:after="120"/>
        <w:jc w:val="both"/>
        <w:rPr>
          <w:szCs w:val="24"/>
        </w:rPr>
      </w:pPr>
      <w:r w:rsidRPr="009E22B0">
        <w:rPr>
          <w:szCs w:val="24"/>
        </w:rPr>
        <w:t>F</w:t>
      </w:r>
      <w:r w:rsidR="00741AEB" w:rsidRPr="009E22B0">
        <w:rPr>
          <w:szCs w:val="24"/>
        </w:rPr>
        <w:t>oster good relations between persons who share a relevant protected characteristic and persons who do not share it.</w:t>
      </w:r>
    </w:p>
    <w:p w14:paraId="34565A5F" w14:textId="77777777" w:rsidR="00741AEB" w:rsidRPr="00440EBF" w:rsidRDefault="0020754A" w:rsidP="003D61E1">
      <w:pPr>
        <w:pStyle w:val="ListParagraph"/>
        <w:numPr>
          <w:ilvl w:val="1"/>
          <w:numId w:val="6"/>
        </w:numPr>
        <w:spacing w:after="120"/>
        <w:jc w:val="both"/>
        <w:rPr>
          <w:szCs w:val="24"/>
        </w:rPr>
      </w:pPr>
      <w:r>
        <w:t xml:space="preserve">     </w:t>
      </w:r>
      <w:r w:rsidR="00741AEB" w:rsidRPr="00A969AA">
        <w:t>Having</w:t>
      </w:r>
      <w:r w:rsidR="00741AEB" w:rsidRPr="0039329E">
        <w:rPr>
          <w:szCs w:val="24"/>
        </w:rPr>
        <w:t xml:space="preserve"> due regard to the need to advance equality of opportunity </w:t>
      </w:r>
      <w:r>
        <w:rPr>
          <w:szCs w:val="24"/>
        </w:rPr>
        <w:tab/>
      </w:r>
      <w:r w:rsidR="00741AEB" w:rsidRPr="0039329E">
        <w:rPr>
          <w:szCs w:val="24"/>
        </w:rPr>
        <w:t xml:space="preserve">between persons who share a relevant protected characteristic and </w:t>
      </w:r>
      <w:r>
        <w:rPr>
          <w:szCs w:val="24"/>
        </w:rPr>
        <w:tab/>
      </w:r>
      <w:r w:rsidR="00741AEB" w:rsidRPr="0039329E">
        <w:rPr>
          <w:szCs w:val="24"/>
        </w:rPr>
        <w:t xml:space="preserve">persons who do not share it involves having due regard, in particular, </w:t>
      </w:r>
      <w:r>
        <w:rPr>
          <w:szCs w:val="24"/>
        </w:rPr>
        <w:tab/>
      </w:r>
      <w:r w:rsidR="00741AEB" w:rsidRPr="0039329E">
        <w:rPr>
          <w:szCs w:val="24"/>
        </w:rPr>
        <w:t>to the need to:</w:t>
      </w:r>
    </w:p>
    <w:p w14:paraId="6FD5BAA3" w14:textId="77777777" w:rsidR="00741AEB" w:rsidRPr="008D4ADA" w:rsidRDefault="00751215" w:rsidP="003D61E1">
      <w:pPr>
        <w:pStyle w:val="ListParagraph"/>
        <w:numPr>
          <w:ilvl w:val="0"/>
          <w:numId w:val="10"/>
        </w:numPr>
        <w:spacing w:after="120"/>
        <w:jc w:val="both"/>
        <w:rPr>
          <w:szCs w:val="24"/>
        </w:rPr>
      </w:pPr>
      <w:r w:rsidRPr="008D4ADA">
        <w:rPr>
          <w:szCs w:val="24"/>
        </w:rPr>
        <w:t>R</w:t>
      </w:r>
      <w:r w:rsidR="00741AEB" w:rsidRPr="008D4ADA">
        <w:rPr>
          <w:szCs w:val="24"/>
        </w:rPr>
        <w:t>emove or minimise disadvantages suffered by persons who share a relevant protected characteristic that are connected to that characteristic;</w:t>
      </w:r>
    </w:p>
    <w:p w14:paraId="7565EE08" w14:textId="77777777" w:rsidR="00741AEB" w:rsidRPr="006B1DE1" w:rsidRDefault="00741AEB" w:rsidP="00720057">
      <w:pPr>
        <w:spacing w:after="120"/>
        <w:ind w:left="720"/>
        <w:jc w:val="both"/>
        <w:rPr>
          <w:szCs w:val="24"/>
        </w:rPr>
      </w:pPr>
      <w:r w:rsidRPr="006B1DE1">
        <w:rPr>
          <w:szCs w:val="24"/>
        </w:rPr>
        <w:lastRenderedPageBreak/>
        <w:t xml:space="preserve">(b) </w:t>
      </w:r>
      <w:r w:rsidR="00751215">
        <w:rPr>
          <w:szCs w:val="24"/>
        </w:rPr>
        <w:t>T</w:t>
      </w:r>
      <w:r w:rsidRPr="006B1DE1">
        <w:rPr>
          <w:szCs w:val="24"/>
        </w:rPr>
        <w:t>ake steps to meet the needs of persons who share a relevant</w:t>
      </w:r>
      <w:r w:rsidR="00B16263">
        <w:rPr>
          <w:szCs w:val="24"/>
        </w:rPr>
        <w:t xml:space="preserve">         </w:t>
      </w:r>
      <w:r w:rsidRPr="006B1DE1">
        <w:rPr>
          <w:szCs w:val="24"/>
        </w:rPr>
        <w:t>protected characteristic that are different from the needs of persons who do not share it;</w:t>
      </w:r>
    </w:p>
    <w:p w14:paraId="62699B9F" w14:textId="77777777" w:rsidR="00741AEB" w:rsidRDefault="00741AEB">
      <w:pPr>
        <w:spacing w:after="240"/>
        <w:ind w:left="720"/>
        <w:jc w:val="both"/>
        <w:rPr>
          <w:szCs w:val="24"/>
        </w:rPr>
      </w:pPr>
      <w:r w:rsidRPr="006B1DE1">
        <w:rPr>
          <w:szCs w:val="24"/>
        </w:rPr>
        <w:t>(c)</w:t>
      </w:r>
      <w:r w:rsidR="0039329E">
        <w:rPr>
          <w:szCs w:val="24"/>
        </w:rPr>
        <w:t xml:space="preserve"> </w:t>
      </w:r>
      <w:r w:rsidRPr="006B1DE1">
        <w:rPr>
          <w:szCs w:val="24"/>
        </w:rPr>
        <w:t xml:space="preserve"> </w:t>
      </w:r>
      <w:r w:rsidR="00751215">
        <w:rPr>
          <w:szCs w:val="24"/>
        </w:rPr>
        <w:t>E</w:t>
      </w:r>
      <w:r w:rsidRPr="006B1DE1">
        <w:rPr>
          <w:szCs w:val="24"/>
        </w:rPr>
        <w:t>ncourage persons who share a relevant protected characteristic to participate in public life or in any other activity in which participation by such persons is disproportionately low.</w:t>
      </w:r>
    </w:p>
    <w:p w14:paraId="08840033" w14:textId="15CAC252" w:rsidR="00741AEB" w:rsidRPr="008B25B2" w:rsidRDefault="00E8374A" w:rsidP="00D73C5B">
      <w:pPr>
        <w:spacing w:after="240"/>
        <w:ind w:left="709" w:hanging="709"/>
        <w:jc w:val="both"/>
        <w:rPr>
          <w:szCs w:val="24"/>
        </w:rPr>
      </w:pPr>
      <w:r>
        <w:t>5</w:t>
      </w:r>
      <w:r w:rsidR="0020754A">
        <w:t xml:space="preserve">.4     </w:t>
      </w:r>
      <w:r w:rsidR="00741AEB" w:rsidRPr="00A969AA">
        <w:t>The</w:t>
      </w:r>
      <w:r w:rsidR="00741AEB" w:rsidRPr="0039329E">
        <w:rPr>
          <w:szCs w:val="24"/>
        </w:rPr>
        <w:t xml:space="preserve"> steps involved in mee</w:t>
      </w:r>
      <w:r w:rsidR="00741AEB" w:rsidRPr="00440EBF">
        <w:rPr>
          <w:szCs w:val="24"/>
        </w:rPr>
        <w:t>ting the needs of disabled persons that are</w:t>
      </w:r>
      <w:r w:rsidR="0020754A">
        <w:rPr>
          <w:szCs w:val="24"/>
        </w:rPr>
        <w:t xml:space="preserve"> </w:t>
      </w:r>
      <w:r w:rsidR="0020754A">
        <w:rPr>
          <w:szCs w:val="24"/>
        </w:rPr>
        <w:tab/>
      </w:r>
      <w:r w:rsidR="00741AEB" w:rsidRPr="00440EBF">
        <w:rPr>
          <w:szCs w:val="24"/>
        </w:rPr>
        <w:t>different from the needs of persons who are not disabled include, in</w:t>
      </w:r>
      <w:r w:rsidR="0020754A">
        <w:rPr>
          <w:szCs w:val="24"/>
        </w:rPr>
        <w:t xml:space="preserve"> </w:t>
      </w:r>
      <w:r w:rsidR="0020754A">
        <w:rPr>
          <w:szCs w:val="24"/>
        </w:rPr>
        <w:tab/>
      </w:r>
      <w:r w:rsidR="00741AEB" w:rsidRPr="00440EBF">
        <w:rPr>
          <w:szCs w:val="24"/>
        </w:rPr>
        <w:t>particular, steps to take account of disabled persons’ disabilities.</w:t>
      </w:r>
    </w:p>
    <w:p w14:paraId="4B086B69" w14:textId="7F064444" w:rsidR="00B0165A" w:rsidRPr="0039329E" w:rsidRDefault="0020754A" w:rsidP="003D61E1">
      <w:pPr>
        <w:pStyle w:val="ListParagraph"/>
        <w:numPr>
          <w:ilvl w:val="1"/>
          <w:numId w:val="7"/>
        </w:numPr>
        <w:tabs>
          <w:tab w:val="left" w:pos="709"/>
        </w:tabs>
        <w:spacing w:after="240"/>
        <w:ind w:left="567" w:hanging="567"/>
        <w:jc w:val="both"/>
        <w:rPr>
          <w:szCs w:val="24"/>
        </w:rPr>
      </w:pPr>
      <w:r>
        <w:t xml:space="preserve">  </w:t>
      </w:r>
      <w:r w:rsidR="00741AEB" w:rsidRPr="00A969AA">
        <w:t>Having</w:t>
      </w:r>
      <w:r w:rsidR="00741AEB" w:rsidRPr="0039329E">
        <w:rPr>
          <w:szCs w:val="24"/>
        </w:rPr>
        <w:t xml:space="preserve"> </w:t>
      </w:r>
      <w:r w:rsidR="00741AEB" w:rsidRPr="0031658B">
        <w:t>due</w:t>
      </w:r>
      <w:r w:rsidR="00741AEB" w:rsidRPr="0039329E">
        <w:rPr>
          <w:szCs w:val="24"/>
        </w:rPr>
        <w:t xml:space="preserve"> regard to the need to foster good relations between </w:t>
      </w:r>
      <w:r>
        <w:rPr>
          <w:szCs w:val="24"/>
        </w:rPr>
        <w:tab/>
      </w:r>
      <w:r w:rsidR="00741AEB" w:rsidRPr="0039329E">
        <w:rPr>
          <w:szCs w:val="24"/>
        </w:rPr>
        <w:t xml:space="preserve">persons who share a relevant protected characteristic and persons </w:t>
      </w:r>
      <w:r>
        <w:rPr>
          <w:szCs w:val="24"/>
        </w:rPr>
        <w:tab/>
      </w:r>
      <w:r w:rsidR="00741AEB" w:rsidRPr="0039329E">
        <w:rPr>
          <w:szCs w:val="24"/>
        </w:rPr>
        <w:t xml:space="preserve">who do not share it involves having due regard, in particular, to the </w:t>
      </w:r>
      <w:r>
        <w:rPr>
          <w:szCs w:val="24"/>
        </w:rPr>
        <w:tab/>
      </w:r>
      <w:r w:rsidR="00741AEB" w:rsidRPr="0039329E">
        <w:rPr>
          <w:szCs w:val="24"/>
        </w:rPr>
        <w:t>need to:</w:t>
      </w:r>
    </w:p>
    <w:p w14:paraId="1D0D6E8B" w14:textId="77777777" w:rsidR="00741AEB" w:rsidRPr="008B25B2" w:rsidRDefault="00B0165A" w:rsidP="009E22B0">
      <w:pPr>
        <w:spacing w:after="240"/>
        <w:rPr>
          <w:szCs w:val="24"/>
        </w:rPr>
      </w:pPr>
      <w:r>
        <w:rPr>
          <w:szCs w:val="24"/>
        </w:rPr>
        <w:t xml:space="preserve">           </w:t>
      </w:r>
      <w:r w:rsidRPr="0039329E">
        <w:rPr>
          <w:szCs w:val="24"/>
        </w:rPr>
        <w:t xml:space="preserve">a)  </w:t>
      </w:r>
      <w:r w:rsidR="00741AEB" w:rsidRPr="00440EBF">
        <w:rPr>
          <w:szCs w:val="24"/>
        </w:rPr>
        <w:t>Tackle prejudice, and</w:t>
      </w:r>
    </w:p>
    <w:p w14:paraId="27568458" w14:textId="77777777" w:rsidR="00741AEB" w:rsidRPr="008D4ADA" w:rsidRDefault="00741AEB" w:rsidP="003D61E1">
      <w:pPr>
        <w:pStyle w:val="ListParagraph"/>
        <w:numPr>
          <w:ilvl w:val="0"/>
          <w:numId w:val="8"/>
        </w:numPr>
        <w:spacing w:after="240"/>
        <w:jc w:val="both"/>
        <w:rPr>
          <w:szCs w:val="24"/>
        </w:rPr>
      </w:pPr>
      <w:r w:rsidRPr="003728EE">
        <w:rPr>
          <w:szCs w:val="24"/>
        </w:rPr>
        <w:t>Promote understanding.</w:t>
      </w:r>
    </w:p>
    <w:p w14:paraId="3D1FE023" w14:textId="72E20D7A" w:rsidR="00741AEB" w:rsidRPr="00440EBF" w:rsidRDefault="00741AEB" w:rsidP="003D61E1">
      <w:pPr>
        <w:pStyle w:val="ListParagraph"/>
        <w:numPr>
          <w:ilvl w:val="1"/>
          <w:numId w:val="7"/>
        </w:numPr>
        <w:spacing w:after="240"/>
        <w:ind w:left="709" w:hanging="709"/>
        <w:jc w:val="both"/>
        <w:rPr>
          <w:szCs w:val="24"/>
        </w:rPr>
      </w:pPr>
      <w:r w:rsidRPr="00A969AA">
        <w:t>Compliance</w:t>
      </w:r>
      <w:r w:rsidRPr="0039329E">
        <w:rPr>
          <w:szCs w:val="24"/>
        </w:rPr>
        <w:t xml:space="preserve"> with the duties in this section </w:t>
      </w:r>
      <w:r w:rsidRPr="00440EBF">
        <w:rPr>
          <w:szCs w:val="24"/>
        </w:rPr>
        <w:t xml:space="preserve">may involve treating some </w:t>
      </w:r>
      <w:r w:rsidR="0020754A">
        <w:rPr>
          <w:szCs w:val="24"/>
        </w:rPr>
        <w:tab/>
      </w:r>
      <w:r w:rsidRPr="0039329E">
        <w:rPr>
          <w:szCs w:val="24"/>
        </w:rPr>
        <w:t xml:space="preserve">persons more favourably than others; but that is not to be taken as </w:t>
      </w:r>
      <w:r w:rsidR="0020754A">
        <w:rPr>
          <w:szCs w:val="24"/>
        </w:rPr>
        <w:tab/>
      </w:r>
      <w:r w:rsidRPr="0039329E">
        <w:rPr>
          <w:szCs w:val="24"/>
        </w:rPr>
        <w:t xml:space="preserve">permitting conduct that would otherwise be prohibited by or under this </w:t>
      </w:r>
      <w:r w:rsidR="0020754A">
        <w:rPr>
          <w:szCs w:val="24"/>
        </w:rPr>
        <w:tab/>
      </w:r>
      <w:r w:rsidRPr="0039329E">
        <w:rPr>
          <w:szCs w:val="24"/>
        </w:rPr>
        <w:t>Act. The relevant protected characteristics are:</w:t>
      </w:r>
    </w:p>
    <w:p w14:paraId="0AE67316" w14:textId="77777777" w:rsidR="00741AEB" w:rsidRPr="006B1DE1" w:rsidRDefault="00741AEB" w:rsidP="00173DA5">
      <w:pPr>
        <w:pStyle w:val="ListParagraph"/>
        <w:numPr>
          <w:ilvl w:val="0"/>
          <w:numId w:val="2"/>
        </w:numPr>
        <w:spacing w:after="240"/>
        <w:jc w:val="both"/>
        <w:rPr>
          <w:szCs w:val="24"/>
        </w:rPr>
      </w:pPr>
      <w:r w:rsidRPr="006B1DE1">
        <w:rPr>
          <w:szCs w:val="24"/>
        </w:rPr>
        <w:t>Age</w:t>
      </w:r>
    </w:p>
    <w:p w14:paraId="45D9DAB3" w14:textId="77777777" w:rsidR="00741AEB" w:rsidRPr="006B1DE1" w:rsidRDefault="00741AEB" w:rsidP="00173DA5">
      <w:pPr>
        <w:pStyle w:val="ListParagraph"/>
        <w:numPr>
          <w:ilvl w:val="0"/>
          <w:numId w:val="2"/>
        </w:numPr>
        <w:spacing w:after="240"/>
        <w:jc w:val="both"/>
        <w:rPr>
          <w:szCs w:val="24"/>
        </w:rPr>
      </w:pPr>
      <w:r w:rsidRPr="006B1DE1">
        <w:rPr>
          <w:szCs w:val="24"/>
        </w:rPr>
        <w:t>Disability</w:t>
      </w:r>
    </w:p>
    <w:p w14:paraId="51A7D859" w14:textId="77777777" w:rsidR="00741AEB" w:rsidRPr="006B1DE1" w:rsidRDefault="00741AEB" w:rsidP="00173DA5">
      <w:pPr>
        <w:pStyle w:val="ListParagraph"/>
        <w:numPr>
          <w:ilvl w:val="0"/>
          <w:numId w:val="2"/>
        </w:numPr>
        <w:spacing w:after="240"/>
        <w:jc w:val="both"/>
        <w:rPr>
          <w:szCs w:val="24"/>
        </w:rPr>
      </w:pPr>
      <w:r w:rsidRPr="006B1DE1">
        <w:rPr>
          <w:szCs w:val="24"/>
        </w:rPr>
        <w:t>Gender reassignment</w:t>
      </w:r>
    </w:p>
    <w:p w14:paraId="2F23A793" w14:textId="77777777" w:rsidR="00741AEB" w:rsidRPr="006B1DE1" w:rsidRDefault="00741AEB" w:rsidP="00173DA5">
      <w:pPr>
        <w:pStyle w:val="ListParagraph"/>
        <w:numPr>
          <w:ilvl w:val="0"/>
          <w:numId w:val="2"/>
        </w:numPr>
        <w:spacing w:after="240"/>
        <w:jc w:val="both"/>
        <w:rPr>
          <w:szCs w:val="24"/>
        </w:rPr>
      </w:pPr>
      <w:r w:rsidRPr="006B1DE1">
        <w:rPr>
          <w:szCs w:val="24"/>
        </w:rPr>
        <w:t>Pregnancy and maternity</w:t>
      </w:r>
    </w:p>
    <w:p w14:paraId="05E072B2" w14:textId="5BD1F5A9" w:rsidR="00741AEB" w:rsidRPr="006B1DE1" w:rsidRDefault="00531BC8" w:rsidP="00173DA5">
      <w:pPr>
        <w:pStyle w:val="ListParagraph"/>
        <w:numPr>
          <w:ilvl w:val="0"/>
          <w:numId w:val="2"/>
        </w:numPr>
        <w:spacing w:after="240"/>
        <w:jc w:val="both"/>
        <w:rPr>
          <w:szCs w:val="24"/>
        </w:rPr>
      </w:pPr>
      <w:r>
        <w:rPr>
          <w:szCs w:val="24"/>
        </w:rPr>
        <w:t>Race</w:t>
      </w:r>
    </w:p>
    <w:p w14:paraId="0E9CC44C" w14:textId="77777777" w:rsidR="00741AEB" w:rsidRPr="006B1DE1" w:rsidRDefault="00741AEB" w:rsidP="00173DA5">
      <w:pPr>
        <w:pStyle w:val="ListParagraph"/>
        <w:numPr>
          <w:ilvl w:val="0"/>
          <w:numId w:val="2"/>
        </w:numPr>
        <w:spacing w:after="240"/>
        <w:jc w:val="both"/>
        <w:rPr>
          <w:szCs w:val="24"/>
        </w:rPr>
      </w:pPr>
      <w:r w:rsidRPr="006B1DE1">
        <w:rPr>
          <w:szCs w:val="24"/>
        </w:rPr>
        <w:t>Religion or belief</w:t>
      </w:r>
    </w:p>
    <w:p w14:paraId="2F2362D7" w14:textId="77777777" w:rsidR="00741AEB" w:rsidRPr="006B1DE1" w:rsidRDefault="00741AEB" w:rsidP="00173DA5">
      <w:pPr>
        <w:pStyle w:val="ListParagraph"/>
        <w:numPr>
          <w:ilvl w:val="0"/>
          <w:numId w:val="2"/>
        </w:numPr>
        <w:spacing w:after="240"/>
        <w:jc w:val="both"/>
        <w:rPr>
          <w:szCs w:val="24"/>
        </w:rPr>
      </w:pPr>
      <w:r w:rsidRPr="006B1DE1">
        <w:rPr>
          <w:szCs w:val="24"/>
        </w:rPr>
        <w:t>Sex</w:t>
      </w:r>
    </w:p>
    <w:p w14:paraId="7B9393AA" w14:textId="77777777" w:rsidR="00741AEB" w:rsidRPr="006B1DE1" w:rsidRDefault="00741AEB" w:rsidP="00173DA5">
      <w:pPr>
        <w:pStyle w:val="ListParagraph"/>
        <w:numPr>
          <w:ilvl w:val="0"/>
          <w:numId w:val="2"/>
        </w:numPr>
        <w:spacing w:after="240"/>
        <w:jc w:val="both"/>
        <w:rPr>
          <w:szCs w:val="24"/>
        </w:rPr>
      </w:pPr>
      <w:r w:rsidRPr="006B1DE1">
        <w:rPr>
          <w:szCs w:val="24"/>
        </w:rPr>
        <w:t>Sexual orientation</w:t>
      </w:r>
    </w:p>
    <w:p w14:paraId="6794DE7C" w14:textId="77777777" w:rsidR="00741AEB" w:rsidRDefault="00741AEB" w:rsidP="00173DA5">
      <w:pPr>
        <w:pStyle w:val="ListParagraph"/>
        <w:numPr>
          <w:ilvl w:val="0"/>
          <w:numId w:val="2"/>
        </w:numPr>
        <w:spacing w:after="240"/>
        <w:jc w:val="both"/>
        <w:rPr>
          <w:szCs w:val="24"/>
        </w:rPr>
      </w:pPr>
      <w:r w:rsidRPr="006B1DE1">
        <w:rPr>
          <w:szCs w:val="24"/>
        </w:rPr>
        <w:t xml:space="preserve">Marriage and Civil partnership       </w:t>
      </w:r>
    </w:p>
    <w:p w14:paraId="5528334E" w14:textId="017C476A" w:rsidR="005E0EC3" w:rsidRPr="00BD22E6" w:rsidRDefault="00720057" w:rsidP="003D61E1">
      <w:pPr>
        <w:pStyle w:val="ListParagraph"/>
        <w:numPr>
          <w:ilvl w:val="1"/>
          <w:numId w:val="7"/>
        </w:numPr>
        <w:spacing w:after="240"/>
        <w:ind w:left="426" w:hanging="568"/>
        <w:jc w:val="both"/>
        <w:rPr>
          <w:rFonts w:cs="Arial"/>
          <w:szCs w:val="24"/>
        </w:rPr>
      </w:pPr>
      <w:r>
        <w:t xml:space="preserve">  </w:t>
      </w:r>
      <w:r w:rsidR="00B0165A">
        <w:t xml:space="preserve"> </w:t>
      </w:r>
      <w:r w:rsidR="006D7595">
        <w:t xml:space="preserve"> </w:t>
      </w:r>
      <w:r w:rsidR="00AD73E5" w:rsidRPr="006B1DE1">
        <w:t>A full equalities impact asses</w:t>
      </w:r>
      <w:r w:rsidR="0021334B">
        <w:t>sment was completed on the 2017</w:t>
      </w:r>
      <w:r w:rsidR="0067045D">
        <w:t>/18</w:t>
      </w:r>
      <w:r w:rsidR="00AD73E5" w:rsidRPr="006B1DE1">
        <w:t xml:space="preserve"> </w:t>
      </w:r>
      <w:r w:rsidR="00B0165A">
        <w:tab/>
      </w:r>
      <w:r w:rsidR="00AD73E5" w:rsidRPr="006B1DE1">
        <w:t xml:space="preserve">budget when the budget was set by Full Council. Equalities </w:t>
      </w:r>
      <w:r w:rsidR="00B0165A">
        <w:tab/>
      </w:r>
      <w:r w:rsidR="00AD73E5" w:rsidRPr="006B1DE1">
        <w:t xml:space="preserve">implications are taken into account by individual directorates whilst </w:t>
      </w:r>
      <w:r w:rsidR="00BD22E6">
        <w:tab/>
      </w:r>
      <w:r w:rsidR="00AD73E5" w:rsidRPr="006B1DE1">
        <w:t xml:space="preserve">running services and making decisions to </w:t>
      </w:r>
      <w:proofErr w:type="spellStart"/>
      <w:r w:rsidR="00AD73E5" w:rsidRPr="006B1DE1">
        <w:t>vire</w:t>
      </w:r>
      <w:proofErr w:type="spellEnd"/>
      <w:r w:rsidR="00AD73E5" w:rsidRPr="006B1DE1">
        <w:t xml:space="preserve"> money. A full equality </w:t>
      </w:r>
      <w:r w:rsidR="00BD22E6">
        <w:tab/>
      </w:r>
      <w:r w:rsidR="00AD73E5" w:rsidRPr="006B1DE1">
        <w:t>impact assessment will be c</w:t>
      </w:r>
      <w:r w:rsidR="0021334B">
        <w:t>ompleted on the budget for 2018</w:t>
      </w:r>
      <w:r w:rsidR="00DA17A5">
        <w:t>/19</w:t>
      </w:r>
      <w:r w:rsidR="0021334B">
        <w:t>.</w:t>
      </w:r>
    </w:p>
    <w:p w14:paraId="1C580A18" w14:textId="77777777" w:rsidR="00F67A46" w:rsidRPr="00F67A46" w:rsidRDefault="00F67A46" w:rsidP="00F67A46"/>
    <w:p w14:paraId="31C179B7" w14:textId="5D6C92A3" w:rsidR="00741AEB" w:rsidRDefault="00E8374A" w:rsidP="00835EA0">
      <w:pPr>
        <w:pStyle w:val="Heading2"/>
      </w:pPr>
      <w:r>
        <w:t>6</w:t>
      </w:r>
      <w:r w:rsidR="009E5B1B">
        <w:t xml:space="preserve">. </w:t>
      </w:r>
      <w:r w:rsidR="00AA383D">
        <w:t xml:space="preserve"> </w:t>
      </w:r>
      <w:r w:rsidR="00741AEB" w:rsidRPr="006B1DE1">
        <w:t>Financial Implications</w:t>
      </w:r>
    </w:p>
    <w:p w14:paraId="66672E5B" w14:textId="77777777" w:rsidR="00BD22E6" w:rsidRPr="0039329E" w:rsidRDefault="00BD22E6" w:rsidP="009E22B0"/>
    <w:p w14:paraId="1F6A57D7" w14:textId="7CD4B5D1" w:rsidR="00741AEB" w:rsidRDefault="00374CD9" w:rsidP="009E22B0">
      <w:pPr>
        <w:spacing w:after="240"/>
        <w:ind w:left="360"/>
      </w:pPr>
      <w:r w:rsidRPr="001C46E8">
        <w:t>F</w:t>
      </w:r>
      <w:r w:rsidR="00741AEB" w:rsidRPr="001C46E8">
        <w:t>inancial matters are integral to the report.</w:t>
      </w:r>
    </w:p>
    <w:p w14:paraId="4DB89378" w14:textId="62517810" w:rsidR="00741AEB" w:rsidRDefault="00E8374A" w:rsidP="009E5B1B">
      <w:pPr>
        <w:pStyle w:val="Heading2"/>
      </w:pPr>
      <w:r>
        <w:lastRenderedPageBreak/>
        <w:t>7</w:t>
      </w:r>
      <w:r w:rsidR="009E5B1B">
        <w:t xml:space="preserve">. </w:t>
      </w:r>
      <w:r w:rsidR="00AA383D">
        <w:t xml:space="preserve"> </w:t>
      </w:r>
      <w:r w:rsidR="00741AEB" w:rsidRPr="006B1DE1">
        <w:t>Performance Issues</w:t>
      </w:r>
    </w:p>
    <w:p w14:paraId="3CFE3D8F" w14:textId="77777777" w:rsidR="00BD22E6" w:rsidRPr="0039329E" w:rsidRDefault="00BD22E6" w:rsidP="009E22B0"/>
    <w:p w14:paraId="008C5E0F" w14:textId="77777777" w:rsidR="0021777C" w:rsidRDefault="0021777C" w:rsidP="00FC2412">
      <w:pPr>
        <w:ind w:left="360"/>
        <w:jc w:val="both"/>
      </w:pPr>
      <w:r w:rsidRPr="0021777C">
        <w:t>Good financial performance is essential to achieving a balanced budget.  The financial performance is integrated with the strategic performance of the Council through quarterly Directorate Improvement Boards which consider the financial position alongside performance including key projects, service KPIs (including customer data and complaints) and workforce. Monitoring of finance and performance is reported regularly to the Corporate Strategic Board and Cabinet and is also considered by the Council's Performance and Finance Scrutiny Sub- Committee.</w:t>
      </w:r>
    </w:p>
    <w:p w14:paraId="24012763" w14:textId="77777777" w:rsidR="0021777C" w:rsidRPr="0021777C" w:rsidRDefault="0021777C" w:rsidP="00FC2412">
      <w:pPr>
        <w:ind w:left="360"/>
        <w:jc w:val="both"/>
      </w:pPr>
    </w:p>
    <w:p w14:paraId="5B50D4CF" w14:textId="0086B092" w:rsidR="005E4706" w:rsidRDefault="0021777C" w:rsidP="00FC2412">
      <w:pPr>
        <w:ind w:left="360"/>
        <w:jc w:val="both"/>
      </w:pPr>
      <w:r w:rsidRPr="0021777C">
        <w:t>The</w:t>
      </w:r>
      <w:r w:rsidR="00E210B9">
        <w:t xml:space="preserve"> Revenue</w:t>
      </w:r>
      <w:r w:rsidRPr="0021777C">
        <w:t xml:space="preserve"> </w:t>
      </w:r>
      <w:r w:rsidR="004C134F">
        <w:t xml:space="preserve">forecast position at </w:t>
      </w:r>
      <w:r w:rsidR="003B4D84">
        <w:t>Quarter 1</w:t>
      </w:r>
      <w:r w:rsidR="004C134F">
        <w:t xml:space="preserve"> is showing a balanced position.</w:t>
      </w:r>
      <w:r w:rsidRPr="0021777C">
        <w:t xml:space="preserve"> </w:t>
      </w:r>
    </w:p>
    <w:p w14:paraId="7368E912" w14:textId="77777777" w:rsidR="008B3424" w:rsidRDefault="008B3424" w:rsidP="00FC2412">
      <w:pPr>
        <w:ind w:left="360"/>
        <w:jc w:val="both"/>
      </w:pPr>
    </w:p>
    <w:p w14:paraId="0B44938D" w14:textId="394D615C" w:rsidR="0021777C" w:rsidRDefault="00560CCD" w:rsidP="00FC2412">
      <w:pPr>
        <w:ind w:left="360"/>
        <w:jc w:val="both"/>
      </w:pPr>
      <w:r w:rsidRPr="00191901">
        <w:t>For the 2017</w:t>
      </w:r>
      <w:r w:rsidR="00FF50F6">
        <w:t>/18</w:t>
      </w:r>
      <w:r w:rsidR="0021777C" w:rsidRPr="00191901">
        <w:t xml:space="preserve"> savings built into the MTFS,</w:t>
      </w:r>
      <w:r w:rsidR="00FF50F6">
        <w:t xml:space="preserve"> the overall position </w:t>
      </w:r>
      <w:r w:rsidR="003B4D84">
        <w:t xml:space="preserve">as at Q1 is </w:t>
      </w:r>
      <w:r w:rsidR="00FF50F6">
        <w:t xml:space="preserve"> that 13</w:t>
      </w:r>
      <w:r w:rsidR="0021777C" w:rsidRPr="00191901">
        <w:t>% of the savings are RAG rated as blue (achieved and</w:t>
      </w:r>
      <w:r w:rsidR="00FF50F6">
        <w:t xml:space="preserve"> banked),  </w:t>
      </w:r>
      <w:r w:rsidR="003B4D84">
        <w:t>51</w:t>
      </w:r>
      <w:r w:rsidR="0021777C" w:rsidRPr="00191901">
        <w:t>% green (ach</w:t>
      </w:r>
      <w:r w:rsidR="00FF50F6">
        <w:t>ievement of saving on track), 2</w:t>
      </w:r>
      <w:r w:rsidR="003B4D84">
        <w:t>3</w:t>
      </w:r>
      <w:r w:rsidR="0021777C" w:rsidRPr="00191901">
        <w:t>% amber (saving only partially ach</w:t>
      </w:r>
      <w:r w:rsidR="003C565A">
        <w:t xml:space="preserve">ieved or risks remaining) </w:t>
      </w:r>
      <w:r w:rsidR="00F277FB" w:rsidRPr="00191901">
        <w:t xml:space="preserve">and </w:t>
      </w:r>
      <w:r w:rsidR="00FF50F6">
        <w:t>13</w:t>
      </w:r>
      <w:r w:rsidR="0021777C" w:rsidRPr="00191901">
        <w:t>% red (agreed saving not achievable).</w:t>
      </w:r>
    </w:p>
    <w:p w14:paraId="2E4CBF6B" w14:textId="77777777" w:rsidR="008B3424" w:rsidRDefault="008B3424" w:rsidP="00FC2412">
      <w:pPr>
        <w:ind w:left="360"/>
        <w:jc w:val="both"/>
      </w:pPr>
    </w:p>
    <w:p w14:paraId="51583932" w14:textId="2583FA1D" w:rsidR="008B3424" w:rsidRDefault="008B3424" w:rsidP="00FC2412">
      <w:pPr>
        <w:ind w:left="360"/>
        <w:jc w:val="both"/>
      </w:pPr>
      <w:r>
        <w:t xml:space="preserve">The Capital Programme is projecting </w:t>
      </w:r>
      <w:proofErr w:type="gramStart"/>
      <w:r w:rsidR="00AC34B2">
        <w:t>a spend</w:t>
      </w:r>
      <w:proofErr w:type="gramEnd"/>
      <w:r w:rsidR="00AC34B2">
        <w:t xml:space="preserve"> of 6</w:t>
      </w:r>
      <w:r w:rsidR="00AB6082">
        <w:t>0</w:t>
      </w:r>
      <w:r w:rsidR="00AC34B2">
        <w:t>% as at quarter 1.</w:t>
      </w:r>
    </w:p>
    <w:p w14:paraId="7A88EFEC" w14:textId="77777777" w:rsidR="0021777C" w:rsidRPr="003C2EB7" w:rsidRDefault="0021777C" w:rsidP="00FC2412">
      <w:pPr>
        <w:jc w:val="both"/>
      </w:pPr>
    </w:p>
    <w:p w14:paraId="00C13CC7" w14:textId="77777777" w:rsidR="009464CF" w:rsidRPr="006B1DE1" w:rsidRDefault="009464CF" w:rsidP="00741AEB"/>
    <w:p w14:paraId="10454A81" w14:textId="6BFFFE28" w:rsidR="00741AEB" w:rsidRPr="006B1DE1" w:rsidRDefault="00E8374A" w:rsidP="00741AEB">
      <w:pPr>
        <w:rPr>
          <w:b/>
          <w:sz w:val="28"/>
          <w:szCs w:val="28"/>
        </w:rPr>
      </w:pPr>
      <w:r>
        <w:rPr>
          <w:b/>
          <w:sz w:val="28"/>
          <w:szCs w:val="28"/>
        </w:rPr>
        <w:t>8</w:t>
      </w:r>
      <w:r w:rsidR="00D73C5B">
        <w:rPr>
          <w:b/>
          <w:sz w:val="28"/>
          <w:szCs w:val="28"/>
        </w:rPr>
        <w:t>.</w:t>
      </w:r>
      <w:r w:rsidR="00AA383D">
        <w:rPr>
          <w:b/>
          <w:sz w:val="28"/>
          <w:szCs w:val="28"/>
        </w:rPr>
        <w:t xml:space="preserve"> </w:t>
      </w:r>
      <w:r w:rsidR="00741AEB" w:rsidRPr="006B1DE1">
        <w:rPr>
          <w:b/>
          <w:sz w:val="28"/>
          <w:szCs w:val="28"/>
        </w:rPr>
        <w:t>Risk Management Implications</w:t>
      </w:r>
    </w:p>
    <w:p w14:paraId="4D47F0C9" w14:textId="77777777" w:rsidR="00741AEB" w:rsidRDefault="00741AEB" w:rsidP="009E22B0">
      <w:pPr>
        <w:spacing w:after="240"/>
        <w:ind w:left="360"/>
      </w:pPr>
      <w:r w:rsidRPr="00374CD9">
        <w:t>The risks to the Council and how they are being managed are set out in the report.</w:t>
      </w:r>
    </w:p>
    <w:p w14:paraId="5BED1DA8" w14:textId="77777777" w:rsidR="005378F7" w:rsidRDefault="005378F7" w:rsidP="009E22B0">
      <w:pPr>
        <w:spacing w:after="240"/>
        <w:ind w:left="360"/>
      </w:pPr>
      <w:r w:rsidRPr="005378F7">
        <w:t>Risks are included on the Directorate risk registers</w:t>
      </w:r>
    </w:p>
    <w:p w14:paraId="7F0F91CA" w14:textId="1FC75058" w:rsidR="00741AEB" w:rsidRPr="006B1DE1" w:rsidRDefault="00E8374A" w:rsidP="00D73C5B">
      <w:pPr>
        <w:pStyle w:val="ListParagraph"/>
        <w:keepNext/>
        <w:spacing w:after="240"/>
        <w:ind w:left="0"/>
        <w:rPr>
          <w:b/>
          <w:sz w:val="28"/>
          <w:szCs w:val="28"/>
        </w:rPr>
      </w:pPr>
      <w:r>
        <w:rPr>
          <w:b/>
          <w:sz w:val="28"/>
          <w:szCs w:val="28"/>
        </w:rPr>
        <w:t>9</w:t>
      </w:r>
      <w:r w:rsidR="00AA383D">
        <w:rPr>
          <w:b/>
          <w:sz w:val="28"/>
          <w:szCs w:val="28"/>
        </w:rPr>
        <w:t xml:space="preserve">. </w:t>
      </w:r>
      <w:r w:rsidR="00741AEB" w:rsidRPr="006B1DE1">
        <w:rPr>
          <w:b/>
          <w:sz w:val="28"/>
          <w:szCs w:val="28"/>
        </w:rPr>
        <w:t>Council Priorities</w:t>
      </w:r>
    </w:p>
    <w:p w14:paraId="1358F9DB" w14:textId="77777777" w:rsidR="00741AEB" w:rsidRPr="006B1DE1" w:rsidRDefault="00741AEB" w:rsidP="009E22B0">
      <w:pPr>
        <w:spacing w:after="240"/>
        <w:ind w:left="360"/>
        <w:rPr>
          <w:b/>
          <w:sz w:val="28"/>
          <w:szCs w:val="28"/>
        </w:rPr>
      </w:pPr>
      <w:r w:rsidRPr="00677491">
        <w:t>The</w:t>
      </w:r>
      <w:r w:rsidRPr="006B1DE1">
        <w:rPr>
          <w:rFonts w:cs="Arial"/>
          <w:szCs w:val="24"/>
        </w:rPr>
        <w:t xml:space="preserve"> </w:t>
      </w:r>
      <w:r w:rsidRPr="00A969AA">
        <w:t>Council’s</w:t>
      </w:r>
      <w:r w:rsidRPr="006B1DE1">
        <w:rPr>
          <w:rFonts w:cs="Arial"/>
          <w:szCs w:val="24"/>
        </w:rPr>
        <w:t xml:space="preserve"> vision is:</w:t>
      </w:r>
      <w:r w:rsidRPr="006B1DE1">
        <w:rPr>
          <w:rFonts w:cs="Arial"/>
          <w:szCs w:val="24"/>
        </w:rPr>
        <w:tab/>
      </w:r>
    </w:p>
    <w:p w14:paraId="5776099E" w14:textId="77777777" w:rsidR="00741AEB" w:rsidRPr="006B1DE1" w:rsidRDefault="00741AEB" w:rsidP="00741AEB">
      <w:pPr>
        <w:rPr>
          <w:rFonts w:cs="Arial"/>
          <w:szCs w:val="24"/>
        </w:rPr>
      </w:pPr>
    </w:p>
    <w:p w14:paraId="665BE20A" w14:textId="77777777" w:rsidR="00741AEB" w:rsidRPr="006B1DE1" w:rsidRDefault="00741AEB" w:rsidP="00741AEB">
      <w:pPr>
        <w:rPr>
          <w:rFonts w:cs="Arial"/>
          <w:szCs w:val="24"/>
        </w:rPr>
      </w:pPr>
      <w:r w:rsidRPr="006B1DE1">
        <w:rPr>
          <w:rFonts w:cs="Arial"/>
          <w:b/>
          <w:szCs w:val="24"/>
        </w:rPr>
        <w:t>Working Together to Make a Difference for Harrow</w:t>
      </w:r>
      <w:r w:rsidRPr="006B1DE1">
        <w:rPr>
          <w:rFonts w:cs="Arial"/>
          <w:szCs w:val="24"/>
        </w:rPr>
        <w:t xml:space="preserve"> </w:t>
      </w:r>
    </w:p>
    <w:p w14:paraId="6DFB8C32" w14:textId="77777777" w:rsidR="00741AEB" w:rsidRPr="006B1DE1" w:rsidRDefault="00741AEB" w:rsidP="00741AEB">
      <w:pPr>
        <w:rPr>
          <w:rFonts w:cs="Arial"/>
          <w:szCs w:val="24"/>
        </w:rPr>
      </w:pPr>
    </w:p>
    <w:p w14:paraId="663E4FF3" w14:textId="77777777" w:rsidR="00741AEB" w:rsidRPr="006B1DE1" w:rsidRDefault="00741AEB" w:rsidP="009E22B0">
      <w:pPr>
        <w:spacing w:after="240"/>
        <w:ind w:left="360"/>
        <w:rPr>
          <w:rFonts w:cs="Arial"/>
          <w:szCs w:val="24"/>
        </w:rPr>
      </w:pPr>
      <w:r w:rsidRPr="006B1DE1">
        <w:rPr>
          <w:rFonts w:cs="Arial"/>
          <w:szCs w:val="24"/>
        </w:rPr>
        <w:t xml:space="preserve">The </w:t>
      </w:r>
      <w:r w:rsidRPr="0031658B">
        <w:rPr>
          <w:rFonts w:cs="Arial"/>
          <w:szCs w:val="24"/>
        </w:rPr>
        <w:t>Council’s</w:t>
      </w:r>
      <w:r w:rsidRPr="006B1DE1">
        <w:rPr>
          <w:rFonts w:cs="Arial"/>
          <w:szCs w:val="24"/>
        </w:rPr>
        <w:t xml:space="preserve"> priorities are:</w:t>
      </w:r>
    </w:p>
    <w:p w14:paraId="7F8E0BCB" w14:textId="77777777" w:rsidR="00741AEB" w:rsidRPr="006B1DE1" w:rsidRDefault="00741AEB" w:rsidP="00741AEB">
      <w:pPr>
        <w:jc w:val="both"/>
      </w:pPr>
    </w:p>
    <w:p w14:paraId="076767E1" w14:textId="77777777" w:rsidR="00741AEB" w:rsidRPr="006B1DE1" w:rsidRDefault="00741AEB" w:rsidP="00741AEB">
      <w:pPr>
        <w:tabs>
          <w:tab w:val="left" w:pos="748"/>
        </w:tabs>
        <w:ind w:left="1058" w:hanging="349"/>
        <w:jc w:val="both"/>
        <w:rPr>
          <w:rFonts w:cs="Arial"/>
          <w:szCs w:val="24"/>
        </w:rPr>
      </w:pPr>
      <w:r w:rsidRPr="006B1DE1">
        <w:rPr>
          <w:rFonts w:cs="Arial"/>
          <w:szCs w:val="24"/>
        </w:rPr>
        <w:t>Making a difference for the vulnerable</w:t>
      </w:r>
    </w:p>
    <w:p w14:paraId="2508E341" w14:textId="77777777" w:rsidR="00741AEB" w:rsidRPr="006B1DE1" w:rsidRDefault="00741AEB" w:rsidP="00741AEB">
      <w:pPr>
        <w:tabs>
          <w:tab w:val="left" w:pos="748"/>
        </w:tabs>
        <w:suppressAutoHyphens/>
        <w:ind w:left="1058" w:hanging="349"/>
        <w:jc w:val="both"/>
        <w:rPr>
          <w:rFonts w:cs="Arial"/>
          <w:szCs w:val="24"/>
        </w:rPr>
      </w:pPr>
      <w:r w:rsidRPr="006B1DE1">
        <w:rPr>
          <w:rFonts w:cs="Arial"/>
          <w:szCs w:val="24"/>
        </w:rPr>
        <w:t>Making a difference for communities</w:t>
      </w:r>
    </w:p>
    <w:p w14:paraId="6102F726" w14:textId="77777777" w:rsidR="00741AEB" w:rsidRPr="006B1DE1" w:rsidRDefault="00741AEB" w:rsidP="00741AEB">
      <w:pPr>
        <w:tabs>
          <w:tab w:val="left" w:pos="748"/>
        </w:tabs>
        <w:suppressAutoHyphens/>
        <w:ind w:left="1058" w:hanging="349"/>
        <w:jc w:val="both"/>
        <w:rPr>
          <w:rFonts w:cs="Arial"/>
          <w:szCs w:val="24"/>
        </w:rPr>
      </w:pPr>
      <w:r w:rsidRPr="006B1DE1">
        <w:rPr>
          <w:rFonts w:cs="Arial"/>
          <w:szCs w:val="24"/>
        </w:rPr>
        <w:t>Making a difference for local businesses</w:t>
      </w:r>
    </w:p>
    <w:p w14:paraId="49D05208" w14:textId="77777777" w:rsidR="00741AEB" w:rsidRPr="006B1DE1" w:rsidRDefault="00741AEB" w:rsidP="00741AEB">
      <w:pPr>
        <w:tabs>
          <w:tab w:val="left" w:pos="748"/>
        </w:tabs>
        <w:suppressAutoHyphens/>
        <w:spacing w:after="240"/>
        <w:ind w:left="1058" w:hanging="349"/>
        <w:jc w:val="both"/>
        <w:rPr>
          <w:rFonts w:cs="Arial"/>
          <w:szCs w:val="24"/>
        </w:rPr>
      </w:pPr>
      <w:r w:rsidRPr="006B1DE1">
        <w:rPr>
          <w:rFonts w:cs="Arial"/>
          <w:szCs w:val="24"/>
        </w:rPr>
        <w:t>Making a difference for families</w:t>
      </w:r>
    </w:p>
    <w:p w14:paraId="57E7E5F4" w14:textId="77777777" w:rsidR="00741AEB" w:rsidRPr="006B1DE1" w:rsidRDefault="00741AEB" w:rsidP="009E22B0">
      <w:pPr>
        <w:spacing w:after="240"/>
        <w:ind w:left="360"/>
      </w:pPr>
      <w:r w:rsidRPr="006B1DE1">
        <w:t xml:space="preserve">This </w:t>
      </w:r>
      <w:r w:rsidRPr="0031658B">
        <w:rPr>
          <w:rFonts w:cs="Arial"/>
          <w:szCs w:val="24"/>
        </w:rPr>
        <w:t>report</w:t>
      </w:r>
      <w:r w:rsidRPr="006B1DE1">
        <w:t xml:space="preserve"> deals with Revenue and Capital monitoring which is </w:t>
      </w:r>
      <w:proofErr w:type="gramStart"/>
      <w:r w:rsidRPr="006B1DE1">
        <w:t>key</w:t>
      </w:r>
      <w:proofErr w:type="gramEnd"/>
      <w:r w:rsidRPr="006B1DE1">
        <w:t xml:space="preserve"> to delivering the infrastructure to deliver the Council’s priorities.</w:t>
      </w:r>
    </w:p>
    <w:p w14:paraId="766DB4CD" w14:textId="77777777" w:rsidR="00741AEB" w:rsidRDefault="00741AEB" w:rsidP="00741AEB"/>
    <w:p w14:paraId="576B066E" w14:textId="77777777" w:rsidR="004C6220" w:rsidRDefault="004C6220" w:rsidP="00741AEB"/>
    <w:p w14:paraId="09F7AA51" w14:textId="77777777" w:rsidR="00741AEB" w:rsidRPr="006B1DE1" w:rsidRDefault="00741AEB" w:rsidP="00741AEB">
      <w:pPr>
        <w:pStyle w:val="Heading1"/>
        <w:keepNext/>
      </w:pPr>
      <w:r w:rsidRPr="006B1DE1">
        <w:lastRenderedPageBreak/>
        <w:t>Section 3 - Statutory Officer Clearance</w:t>
      </w:r>
    </w:p>
    <w:p w14:paraId="7D4DA590" w14:textId="77777777" w:rsidR="00741AEB" w:rsidRPr="006B1DE1" w:rsidRDefault="00741AEB" w:rsidP="00741AEB">
      <w:pPr>
        <w:keepNext/>
        <w:rPr>
          <w:rFonts w:cs="Arial"/>
        </w:rPr>
      </w:pPr>
    </w:p>
    <w:tbl>
      <w:tblPr>
        <w:tblW w:w="48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84"/>
        <w:gridCol w:w="400"/>
        <w:gridCol w:w="222"/>
        <w:gridCol w:w="3751"/>
      </w:tblGrid>
      <w:tr w:rsidR="00741AEB" w:rsidRPr="006B1DE1" w14:paraId="3C143FB1" w14:textId="77777777" w:rsidTr="003B20DC">
        <w:trPr>
          <w:trHeight w:val="576"/>
        </w:trPr>
        <w:tc>
          <w:tcPr>
            <w:tcW w:w="2321" w:type="pct"/>
            <w:tcBorders>
              <w:bottom w:val="nil"/>
              <w:right w:val="nil"/>
            </w:tcBorders>
          </w:tcPr>
          <w:p w14:paraId="673248E0" w14:textId="77777777" w:rsidR="00741AEB" w:rsidRPr="006B1DE1" w:rsidRDefault="00741AEB" w:rsidP="00741AEB">
            <w:pPr>
              <w:pStyle w:val="Infotext"/>
            </w:pPr>
          </w:p>
        </w:tc>
        <w:tc>
          <w:tcPr>
            <w:tcW w:w="246" w:type="pct"/>
            <w:tcBorders>
              <w:left w:val="nil"/>
              <w:right w:val="nil"/>
            </w:tcBorders>
          </w:tcPr>
          <w:p w14:paraId="0F22B0AA" w14:textId="77777777" w:rsidR="00741AEB" w:rsidRPr="006B1DE1" w:rsidRDefault="00741AEB" w:rsidP="00741AEB">
            <w:pPr>
              <w:pStyle w:val="Infotext"/>
            </w:pPr>
          </w:p>
        </w:tc>
        <w:tc>
          <w:tcPr>
            <w:tcW w:w="133" w:type="pct"/>
            <w:tcBorders>
              <w:left w:val="nil"/>
              <w:bottom w:val="nil"/>
              <w:right w:val="nil"/>
            </w:tcBorders>
          </w:tcPr>
          <w:p w14:paraId="40E023D4" w14:textId="77777777" w:rsidR="00741AEB" w:rsidRPr="006B1DE1" w:rsidRDefault="00741AEB" w:rsidP="00741AEB">
            <w:pPr>
              <w:pStyle w:val="Infotext"/>
            </w:pPr>
          </w:p>
        </w:tc>
        <w:tc>
          <w:tcPr>
            <w:tcW w:w="2300" w:type="pct"/>
            <w:tcBorders>
              <w:left w:val="nil"/>
              <w:bottom w:val="nil"/>
            </w:tcBorders>
          </w:tcPr>
          <w:p w14:paraId="71CB4D16" w14:textId="77777777" w:rsidR="00741AEB" w:rsidRPr="006B1DE1" w:rsidRDefault="00741AEB" w:rsidP="00741AEB">
            <w:pPr>
              <w:pStyle w:val="Infotext"/>
            </w:pPr>
          </w:p>
          <w:p w14:paraId="1F59335D" w14:textId="77777777" w:rsidR="00741AEB" w:rsidRPr="006B1DE1" w:rsidRDefault="00741AEB" w:rsidP="00741AEB">
            <w:pPr>
              <w:pStyle w:val="Infotext"/>
            </w:pPr>
          </w:p>
        </w:tc>
      </w:tr>
      <w:tr w:rsidR="00741AEB" w:rsidRPr="006B1DE1" w14:paraId="5822521C" w14:textId="77777777" w:rsidTr="003B20DC">
        <w:trPr>
          <w:trHeight w:val="293"/>
        </w:trPr>
        <w:tc>
          <w:tcPr>
            <w:tcW w:w="2321" w:type="pct"/>
            <w:tcBorders>
              <w:top w:val="nil"/>
              <w:bottom w:val="nil"/>
            </w:tcBorders>
          </w:tcPr>
          <w:p w14:paraId="6FDC3906" w14:textId="77777777" w:rsidR="00741AEB" w:rsidRPr="006B1DE1" w:rsidRDefault="00741AEB" w:rsidP="00741AEB">
            <w:pPr>
              <w:pStyle w:val="Infotext"/>
            </w:pPr>
            <w:r w:rsidRPr="006B1DE1">
              <w:t>Name: Dawn Calvert</w:t>
            </w:r>
          </w:p>
        </w:tc>
        <w:tc>
          <w:tcPr>
            <w:tcW w:w="246" w:type="pct"/>
            <w:tcBorders>
              <w:bottom w:val="single" w:sz="4" w:space="0" w:color="auto"/>
            </w:tcBorders>
          </w:tcPr>
          <w:p w14:paraId="6E847F35" w14:textId="11A3362A" w:rsidR="00741AEB" w:rsidRPr="006B1DE1" w:rsidRDefault="009718B5" w:rsidP="00741AEB">
            <w:pPr>
              <w:pStyle w:val="Infotext"/>
            </w:pPr>
            <w:r>
              <w:t>x</w:t>
            </w:r>
          </w:p>
        </w:tc>
        <w:tc>
          <w:tcPr>
            <w:tcW w:w="133" w:type="pct"/>
            <w:tcBorders>
              <w:top w:val="nil"/>
              <w:bottom w:val="nil"/>
              <w:right w:val="nil"/>
            </w:tcBorders>
          </w:tcPr>
          <w:p w14:paraId="6C1100F9" w14:textId="77777777" w:rsidR="00741AEB" w:rsidRPr="006B1DE1" w:rsidRDefault="00741AEB" w:rsidP="00741AEB">
            <w:pPr>
              <w:pStyle w:val="Infotext"/>
            </w:pPr>
          </w:p>
        </w:tc>
        <w:tc>
          <w:tcPr>
            <w:tcW w:w="2300" w:type="pct"/>
            <w:tcBorders>
              <w:top w:val="nil"/>
              <w:left w:val="nil"/>
              <w:bottom w:val="nil"/>
            </w:tcBorders>
          </w:tcPr>
          <w:p w14:paraId="635F3FE0" w14:textId="77777777" w:rsidR="00741AEB" w:rsidRPr="006B1DE1" w:rsidRDefault="00741AEB" w:rsidP="00741AEB">
            <w:pPr>
              <w:pStyle w:val="Infotext"/>
            </w:pPr>
            <w:r w:rsidRPr="006B1DE1">
              <w:t>Chief Financial Officer</w:t>
            </w:r>
          </w:p>
        </w:tc>
      </w:tr>
      <w:tr w:rsidR="00741AEB" w:rsidRPr="006B1DE1" w14:paraId="1D8363A7" w14:textId="77777777" w:rsidTr="003B20DC">
        <w:trPr>
          <w:trHeight w:val="576"/>
        </w:trPr>
        <w:tc>
          <w:tcPr>
            <w:tcW w:w="2321" w:type="pct"/>
            <w:tcBorders>
              <w:top w:val="nil"/>
              <w:right w:val="nil"/>
            </w:tcBorders>
          </w:tcPr>
          <w:p w14:paraId="37B4DEEE" w14:textId="77777777" w:rsidR="00741AEB" w:rsidRPr="006B1DE1" w:rsidRDefault="00741AEB" w:rsidP="00741AEB">
            <w:pPr>
              <w:pStyle w:val="Infotext"/>
            </w:pPr>
            <w:r w:rsidRPr="006B1DE1">
              <w:t xml:space="preserve"> </w:t>
            </w:r>
          </w:p>
          <w:p w14:paraId="30D91360" w14:textId="3D61AD85" w:rsidR="00741AEB" w:rsidRPr="006B1DE1" w:rsidRDefault="00741AEB">
            <w:pPr>
              <w:pStyle w:val="Infotext"/>
            </w:pPr>
            <w:r w:rsidRPr="006B1DE1">
              <w:t xml:space="preserve">Date: </w:t>
            </w:r>
            <w:r w:rsidR="00530E7B">
              <w:t xml:space="preserve"> </w:t>
            </w:r>
            <w:r w:rsidR="009718B5">
              <w:t>4 September 2017</w:t>
            </w:r>
          </w:p>
        </w:tc>
        <w:tc>
          <w:tcPr>
            <w:tcW w:w="246" w:type="pct"/>
            <w:tcBorders>
              <w:left w:val="nil"/>
              <w:bottom w:val="single" w:sz="4" w:space="0" w:color="auto"/>
              <w:right w:val="nil"/>
            </w:tcBorders>
          </w:tcPr>
          <w:p w14:paraId="12C90539" w14:textId="77777777" w:rsidR="00741AEB" w:rsidRPr="006B1DE1" w:rsidRDefault="00741AEB" w:rsidP="00741AEB">
            <w:pPr>
              <w:pStyle w:val="Infotext"/>
            </w:pPr>
          </w:p>
        </w:tc>
        <w:tc>
          <w:tcPr>
            <w:tcW w:w="133" w:type="pct"/>
            <w:tcBorders>
              <w:top w:val="nil"/>
              <w:left w:val="nil"/>
              <w:right w:val="nil"/>
            </w:tcBorders>
          </w:tcPr>
          <w:p w14:paraId="44DA09CA" w14:textId="77777777" w:rsidR="00741AEB" w:rsidRPr="006B1DE1" w:rsidRDefault="00741AEB" w:rsidP="00741AEB">
            <w:pPr>
              <w:pStyle w:val="Infotext"/>
            </w:pPr>
          </w:p>
        </w:tc>
        <w:tc>
          <w:tcPr>
            <w:tcW w:w="2300" w:type="pct"/>
            <w:tcBorders>
              <w:top w:val="nil"/>
              <w:left w:val="nil"/>
            </w:tcBorders>
          </w:tcPr>
          <w:p w14:paraId="7BB6590E" w14:textId="77777777" w:rsidR="00741AEB" w:rsidRPr="006B1DE1" w:rsidRDefault="00741AEB" w:rsidP="00741AEB">
            <w:pPr>
              <w:pStyle w:val="Infotext"/>
            </w:pPr>
          </w:p>
        </w:tc>
      </w:tr>
      <w:tr w:rsidR="00741AEB" w:rsidRPr="006B1DE1" w14:paraId="2C23E48D" w14:textId="77777777" w:rsidTr="003B20DC">
        <w:trPr>
          <w:trHeight w:val="585"/>
        </w:trPr>
        <w:tc>
          <w:tcPr>
            <w:tcW w:w="2321" w:type="pct"/>
            <w:tcBorders>
              <w:bottom w:val="nil"/>
              <w:right w:val="nil"/>
            </w:tcBorders>
          </w:tcPr>
          <w:p w14:paraId="1A9CEA60" w14:textId="77777777" w:rsidR="00741AEB" w:rsidRPr="006B1DE1" w:rsidRDefault="00741AEB" w:rsidP="00741AEB">
            <w:pPr>
              <w:pStyle w:val="Infotext"/>
            </w:pPr>
          </w:p>
        </w:tc>
        <w:tc>
          <w:tcPr>
            <w:tcW w:w="246" w:type="pct"/>
            <w:tcBorders>
              <w:left w:val="nil"/>
              <w:right w:val="nil"/>
            </w:tcBorders>
          </w:tcPr>
          <w:p w14:paraId="10D82026" w14:textId="77777777" w:rsidR="00741AEB" w:rsidRPr="006B1DE1" w:rsidRDefault="00741AEB" w:rsidP="00741AEB">
            <w:pPr>
              <w:pStyle w:val="Infotext"/>
            </w:pPr>
          </w:p>
        </w:tc>
        <w:tc>
          <w:tcPr>
            <w:tcW w:w="133" w:type="pct"/>
            <w:tcBorders>
              <w:left w:val="nil"/>
              <w:bottom w:val="nil"/>
              <w:right w:val="nil"/>
            </w:tcBorders>
          </w:tcPr>
          <w:p w14:paraId="4E55F8EB" w14:textId="77777777" w:rsidR="00741AEB" w:rsidRPr="006B1DE1" w:rsidRDefault="00741AEB" w:rsidP="00741AEB">
            <w:pPr>
              <w:pStyle w:val="Infotext"/>
            </w:pPr>
          </w:p>
        </w:tc>
        <w:tc>
          <w:tcPr>
            <w:tcW w:w="2300" w:type="pct"/>
            <w:tcBorders>
              <w:left w:val="nil"/>
              <w:bottom w:val="nil"/>
            </w:tcBorders>
          </w:tcPr>
          <w:p w14:paraId="533B222A" w14:textId="77777777" w:rsidR="00741AEB" w:rsidRPr="006B1DE1" w:rsidRDefault="00741AEB" w:rsidP="00741AEB">
            <w:pPr>
              <w:pStyle w:val="Infotext"/>
            </w:pPr>
          </w:p>
          <w:p w14:paraId="1E9A9A73" w14:textId="77777777" w:rsidR="00741AEB" w:rsidRPr="006B1DE1" w:rsidRDefault="00741AEB" w:rsidP="00741AEB">
            <w:pPr>
              <w:pStyle w:val="Infotext"/>
            </w:pPr>
            <w:r w:rsidRPr="006B1DE1">
              <w:t>on behalf of the</w:t>
            </w:r>
          </w:p>
        </w:tc>
      </w:tr>
      <w:tr w:rsidR="00741AEB" w:rsidRPr="006B1DE1" w14:paraId="0F0723F5" w14:textId="77777777" w:rsidTr="003B20DC">
        <w:trPr>
          <w:trHeight w:val="293"/>
        </w:trPr>
        <w:tc>
          <w:tcPr>
            <w:tcW w:w="2321" w:type="pct"/>
            <w:tcBorders>
              <w:top w:val="nil"/>
              <w:bottom w:val="nil"/>
            </w:tcBorders>
          </w:tcPr>
          <w:p w14:paraId="7803C697" w14:textId="386FF88E" w:rsidR="00741AEB" w:rsidRPr="006B1DE1" w:rsidRDefault="00741AEB" w:rsidP="00CE1C9A">
            <w:pPr>
              <w:pStyle w:val="Infotext"/>
            </w:pPr>
            <w:r w:rsidRPr="006B1DE1">
              <w:t xml:space="preserve">Name: </w:t>
            </w:r>
            <w:r w:rsidR="009718B5">
              <w:t>Mathew Adams</w:t>
            </w:r>
          </w:p>
        </w:tc>
        <w:tc>
          <w:tcPr>
            <w:tcW w:w="246" w:type="pct"/>
            <w:tcBorders>
              <w:bottom w:val="single" w:sz="4" w:space="0" w:color="auto"/>
            </w:tcBorders>
          </w:tcPr>
          <w:p w14:paraId="43E69919" w14:textId="50E8DA81" w:rsidR="00741AEB" w:rsidRPr="006B1DE1" w:rsidRDefault="005D2E4A" w:rsidP="005D2E4A">
            <w:pPr>
              <w:pStyle w:val="Infotext"/>
            </w:pPr>
            <w:r>
              <w:t>x</w:t>
            </w:r>
          </w:p>
        </w:tc>
        <w:tc>
          <w:tcPr>
            <w:tcW w:w="133" w:type="pct"/>
            <w:tcBorders>
              <w:top w:val="nil"/>
              <w:bottom w:val="nil"/>
              <w:right w:val="nil"/>
            </w:tcBorders>
          </w:tcPr>
          <w:p w14:paraId="008C32DF" w14:textId="77777777" w:rsidR="00741AEB" w:rsidRPr="006B1DE1" w:rsidRDefault="00741AEB" w:rsidP="00741AEB">
            <w:pPr>
              <w:pStyle w:val="Infotext"/>
            </w:pPr>
          </w:p>
        </w:tc>
        <w:tc>
          <w:tcPr>
            <w:tcW w:w="2300" w:type="pct"/>
            <w:tcBorders>
              <w:top w:val="nil"/>
              <w:left w:val="nil"/>
              <w:bottom w:val="nil"/>
            </w:tcBorders>
          </w:tcPr>
          <w:p w14:paraId="1D883FE0" w14:textId="77777777" w:rsidR="00741AEB" w:rsidRPr="006B1DE1" w:rsidRDefault="00741AEB" w:rsidP="00741AEB">
            <w:pPr>
              <w:pStyle w:val="Infotext"/>
            </w:pPr>
            <w:r w:rsidRPr="006B1DE1">
              <w:t>Monitoring Officer</w:t>
            </w:r>
          </w:p>
        </w:tc>
      </w:tr>
      <w:tr w:rsidR="00741AEB" w:rsidRPr="006B1DE1" w14:paraId="66B81294" w14:textId="77777777" w:rsidTr="003B20DC">
        <w:trPr>
          <w:trHeight w:val="585"/>
        </w:trPr>
        <w:tc>
          <w:tcPr>
            <w:tcW w:w="2321" w:type="pct"/>
            <w:tcBorders>
              <w:top w:val="nil"/>
              <w:right w:val="nil"/>
            </w:tcBorders>
          </w:tcPr>
          <w:p w14:paraId="1FFB3A19" w14:textId="77777777" w:rsidR="00741AEB" w:rsidRPr="006B1DE1" w:rsidRDefault="00741AEB" w:rsidP="00741AEB">
            <w:pPr>
              <w:pStyle w:val="Infotext"/>
            </w:pPr>
          </w:p>
          <w:p w14:paraId="03F082E0" w14:textId="46336FC7" w:rsidR="00741AEB" w:rsidRPr="006B1DE1" w:rsidRDefault="00741AEB">
            <w:pPr>
              <w:pStyle w:val="Infotext"/>
            </w:pPr>
            <w:r w:rsidRPr="006B1DE1">
              <w:t>Date</w:t>
            </w:r>
            <w:r w:rsidR="003B4D84">
              <w:t>:</w:t>
            </w:r>
            <w:r w:rsidR="005D2E4A">
              <w:t xml:space="preserve"> </w:t>
            </w:r>
            <w:r w:rsidR="009718B5">
              <w:t>4 September 2017</w:t>
            </w:r>
          </w:p>
        </w:tc>
        <w:tc>
          <w:tcPr>
            <w:tcW w:w="246" w:type="pct"/>
            <w:tcBorders>
              <w:left w:val="nil"/>
              <w:right w:val="nil"/>
            </w:tcBorders>
          </w:tcPr>
          <w:p w14:paraId="3CD98688" w14:textId="77777777" w:rsidR="00741AEB" w:rsidRPr="006B1DE1" w:rsidRDefault="00741AEB" w:rsidP="00741AEB">
            <w:pPr>
              <w:pStyle w:val="Infotext"/>
            </w:pPr>
          </w:p>
        </w:tc>
        <w:tc>
          <w:tcPr>
            <w:tcW w:w="133" w:type="pct"/>
            <w:tcBorders>
              <w:top w:val="nil"/>
              <w:left w:val="nil"/>
              <w:right w:val="nil"/>
            </w:tcBorders>
          </w:tcPr>
          <w:p w14:paraId="000AE59E" w14:textId="77777777" w:rsidR="00741AEB" w:rsidRPr="006B1DE1" w:rsidRDefault="00741AEB" w:rsidP="00741AEB">
            <w:pPr>
              <w:pStyle w:val="Infotext"/>
            </w:pPr>
          </w:p>
        </w:tc>
        <w:tc>
          <w:tcPr>
            <w:tcW w:w="2300" w:type="pct"/>
            <w:tcBorders>
              <w:top w:val="nil"/>
              <w:left w:val="nil"/>
            </w:tcBorders>
          </w:tcPr>
          <w:p w14:paraId="3D177DDE" w14:textId="77777777" w:rsidR="00741AEB" w:rsidRPr="006B1DE1" w:rsidRDefault="00741AEB" w:rsidP="00741AEB">
            <w:pPr>
              <w:pStyle w:val="Infotext"/>
            </w:pPr>
          </w:p>
          <w:p w14:paraId="49449294" w14:textId="77777777" w:rsidR="00741AEB" w:rsidRPr="006B1DE1" w:rsidRDefault="00741AEB" w:rsidP="00741AEB">
            <w:pPr>
              <w:pStyle w:val="Infotext"/>
            </w:pPr>
          </w:p>
        </w:tc>
      </w:tr>
    </w:tbl>
    <w:p w14:paraId="3EAD974D" w14:textId="77777777" w:rsidR="00741AEB" w:rsidRPr="006B1DE1" w:rsidRDefault="00741AEB" w:rsidP="00741AEB"/>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45"/>
        <w:gridCol w:w="3294"/>
      </w:tblGrid>
      <w:tr w:rsidR="00741AEB" w:rsidRPr="006B1DE1" w14:paraId="6B85578A" w14:textId="77777777" w:rsidTr="00741AEB">
        <w:trPr>
          <w:trHeight w:val="965"/>
        </w:trPr>
        <w:tc>
          <w:tcPr>
            <w:tcW w:w="3025" w:type="pct"/>
            <w:tcBorders>
              <w:right w:val="nil"/>
            </w:tcBorders>
          </w:tcPr>
          <w:p w14:paraId="24922F27" w14:textId="77777777" w:rsidR="00741AEB" w:rsidRPr="006B1DE1" w:rsidRDefault="00741AEB" w:rsidP="00741AEB">
            <w:pPr>
              <w:pStyle w:val="Infotext"/>
              <w:rPr>
                <w:rFonts w:ascii="Arial Black" w:hAnsi="Arial Black"/>
              </w:rPr>
            </w:pPr>
          </w:p>
          <w:p w14:paraId="1727BE44" w14:textId="77777777" w:rsidR="00741AEB" w:rsidRPr="006B1DE1" w:rsidRDefault="00741AEB" w:rsidP="00741AEB">
            <w:pPr>
              <w:pStyle w:val="Infotext"/>
              <w:rPr>
                <w:rFonts w:ascii="Arial Black" w:hAnsi="Arial Black"/>
              </w:rPr>
            </w:pPr>
            <w:r w:rsidRPr="006B1DE1">
              <w:rPr>
                <w:rFonts w:ascii="Arial Black" w:hAnsi="Arial Black"/>
              </w:rPr>
              <w:t>Ward Councillors notified:</w:t>
            </w:r>
          </w:p>
          <w:p w14:paraId="6ABAFB09" w14:textId="77777777" w:rsidR="00741AEB" w:rsidRPr="006B1DE1" w:rsidRDefault="00741AEB" w:rsidP="00741AEB">
            <w:pPr>
              <w:pStyle w:val="Infotext"/>
              <w:rPr>
                <w:color w:val="FF0000"/>
              </w:rPr>
            </w:pPr>
          </w:p>
        </w:tc>
        <w:tc>
          <w:tcPr>
            <w:tcW w:w="1975" w:type="pct"/>
            <w:tcBorders>
              <w:left w:val="nil"/>
            </w:tcBorders>
          </w:tcPr>
          <w:p w14:paraId="223D7B49" w14:textId="77777777" w:rsidR="00741AEB" w:rsidRPr="006B1DE1" w:rsidRDefault="00741AEB" w:rsidP="00741AEB">
            <w:pPr>
              <w:pStyle w:val="Infotext"/>
            </w:pPr>
          </w:p>
          <w:p w14:paraId="77434A46" w14:textId="560981AD" w:rsidR="00741AEB" w:rsidRPr="006B1DE1" w:rsidRDefault="00741AEB" w:rsidP="005D2E4A">
            <w:pPr>
              <w:pStyle w:val="Infotext"/>
              <w:spacing w:before="120"/>
              <w:rPr>
                <w:i/>
                <w:sz w:val="24"/>
                <w:szCs w:val="24"/>
              </w:rPr>
            </w:pPr>
            <w:r w:rsidRPr="006B1DE1">
              <w:rPr>
                <w:b/>
              </w:rPr>
              <w:t>NO, as it impacts on all Wards</w:t>
            </w:r>
            <w:r w:rsidRPr="006B1DE1">
              <w:rPr>
                <w:i/>
                <w:sz w:val="24"/>
                <w:szCs w:val="24"/>
              </w:rPr>
              <w:t xml:space="preserve"> </w:t>
            </w:r>
          </w:p>
        </w:tc>
      </w:tr>
      <w:tr w:rsidR="00741AEB" w:rsidRPr="006B1DE1" w14:paraId="5A7748C7" w14:textId="77777777" w:rsidTr="00741AEB">
        <w:trPr>
          <w:trHeight w:val="965"/>
        </w:trPr>
        <w:tc>
          <w:tcPr>
            <w:tcW w:w="3025" w:type="pct"/>
            <w:tcBorders>
              <w:right w:val="nil"/>
            </w:tcBorders>
          </w:tcPr>
          <w:p w14:paraId="757C2990" w14:textId="77777777" w:rsidR="00741AEB" w:rsidRPr="006B1DE1" w:rsidRDefault="00741AEB" w:rsidP="00741AEB">
            <w:pPr>
              <w:pStyle w:val="Infotext"/>
              <w:rPr>
                <w:rFonts w:ascii="Arial Black" w:hAnsi="Arial Black"/>
                <w:color w:val="FF0000"/>
              </w:rPr>
            </w:pPr>
          </w:p>
          <w:p w14:paraId="375370D3" w14:textId="77777777" w:rsidR="00741AEB" w:rsidRPr="006B1DE1" w:rsidRDefault="00741AEB" w:rsidP="00741AEB">
            <w:pPr>
              <w:pStyle w:val="Infotext"/>
              <w:rPr>
                <w:rFonts w:ascii="Arial Black" w:hAnsi="Arial Black"/>
              </w:rPr>
            </w:pPr>
            <w:proofErr w:type="spellStart"/>
            <w:r w:rsidRPr="006B1DE1">
              <w:rPr>
                <w:rFonts w:ascii="Arial Black" w:hAnsi="Arial Black"/>
              </w:rPr>
              <w:t>EqIA</w:t>
            </w:r>
            <w:proofErr w:type="spellEnd"/>
            <w:r w:rsidRPr="006B1DE1">
              <w:rPr>
                <w:rFonts w:ascii="Arial Black" w:hAnsi="Arial Black"/>
              </w:rPr>
              <w:t xml:space="preserve"> carried out:</w:t>
            </w:r>
          </w:p>
          <w:p w14:paraId="2CAC4E12" w14:textId="77777777" w:rsidR="00741AEB" w:rsidRPr="006B1DE1" w:rsidRDefault="00741AEB" w:rsidP="00741AEB">
            <w:pPr>
              <w:pStyle w:val="Infotext"/>
              <w:rPr>
                <w:rFonts w:ascii="Arial Black" w:hAnsi="Arial Black"/>
                <w:color w:val="FF0000"/>
              </w:rPr>
            </w:pPr>
            <w:proofErr w:type="spellStart"/>
            <w:r w:rsidRPr="006B1DE1">
              <w:rPr>
                <w:rFonts w:ascii="Arial Black" w:hAnsi="Arial Black"/>
              </w:rPr>
              <w:t>EqIA</w:t>
            </w:r>
            <w:proofErr w:type="spellEnd"/>
            <w:r w:rsidRPr="006B1DE1">
              <w:rPr>
                <w:rFonts w:ascii="Arial Black" w:hAnsi="Arial Black"/>
              </w:rPr>
              <w:t xml:space="preserve"> cleared by:</w:t>
            </w:r>
          </w:p>
        </w:tc>
        <w:tc>
          <w:tcPr>
            <w:tcW w:w="1975" w:type="pct"/>
            <w:tcBorders>
              <w:left w:val="nil"/>
            </w:tcBorders>
          </w:tcPr>
          <w:p w14:paraId="693BCD8C" w14:textId="77777777" w:rsidR="00741AEB" w:rsidRPr="006B1DE1" w:rsidRDefault="00741AEB" w:rsidP="00741AEB">
            <w:pPr>
              <w:pStyle w:val="Infotext"/>
              <w:rPr>
                <w:b/>
                <w:color w:val="FF0000"/>
              </w:rPr>
            </w:pPr>
          </w:p>
          <w:p w14:paraId="04434650" w14:textId="0DDB0001" w:rsidR="00741AEB" w:rsidRPr="006B1DE1" w:rsidRDefault="00741AEB" w:rsidP="00741AEB">
            <w:pPr>
              <w:pStyle w:val="Infotext"/>
            </w:pPr>
            <w:proofErr w:type="spellStart"/>
            <w:r w:rsidRPr="006B1DE1">
              <w:rPr>
                <w:b/>
              </w:rPr>
              <w:t>NO</w:t>
            </w:r>
            <w:r w:rsidR="00EB7D9E">
              <w:t>Not</w:t>
            </w:r>
            <w:proofErr w:type="spellEnd"/>
            <w:r w:rsidR="00EB7D9E">
              <w:t xml:space="preserve"> applicable</w:t>
            </w:r>
          </w:p>
          <w:p w14:paraId="23ED1CD1" w14:textId="77777777" w:rsidR="00741AEB" w:rsidRPr="006B1DE1" w:rsidRDefault="00741AEB" w:rsidP="00741AEB">
            <w:pPr>
              <w:pStyle w:val="Infotext"/>
              <w:rPr>
                <w:color w:val="FF0000"/>
              </w:rPr>
            </w:pPr>
          </w:p>
        </w:tc>
      </w:tr>
    </w:tbl>
    <w:p w14:paraId="2D2FE5BE" w14:textId="77777777" w:rsidR="00741AEB" w:rsidRPr="006B1DE1" w:rsidRDefault="00741AEB" w:rsidP="00741AEB"/>
    <w:p w14:paraId="4A0069E0" w14:textId="77777777" w:rsidR="00741AEB" w:rsidRPr="006B1DE1" w:rsidRDefault="00741AEB" w:rsidP="00741AEB">
      <w:pPr>
        <w:pStyle w:val="Heading1"/>
        <w:keepNext/>
      </w:pPr>
      <w:r w:rsidRPr="006B1DE1">
        <w:t xml:space="preserve">Section </w:t>
      </w:r>
      <w:r w:rsidR="008B25B2">
        <w:t>4</w:t>
      </w:r>
      <w:r w:rsidRPr="006B1DE1">
        <w:t xml:space="preserve"> - Contact Details and Background Papers</w:t>
      </w:r>
    </w:p>
    <w:p w14:paraId="1D9FE02C" w14:textId="77777777" w:rsidR="00741AEB" w:rsidRPr="006B1DE1" w:rsidRDefault="00741AEB" w:rsidP="00741AEB">
      <w:pPr>
        <w:keepNext/>
        <w:rPr>
          <w:rFonts w:cs="Arial"/>
        </w:rPr>
      </w:pPr>
    </w:p>
    <w:p w14:paraId="1967BB7F" w14:textId="0E1F5A6F" w:rsidR="008B25B2" w:rsidRPr="008B25B2" w:rsidRDefault="00741AEB" w:rsidP="008B25B2">
      <w:pPr>
        <w:pStyle w:val="Infotext"/>
        <w:rPr>
          <w:b/>
        </w:rPr>
      </w:pPr>
      <w:r w:rsidRPr="006B1DE1">
        <w:rPr>
          <w:b/>
        </w:rPr>
        <w:t xml:space="preserve">Contact:  </w:t>
      </w:r>
      <w:r w:rsidR="008B25B2">
        <w:t>Sharon Daniels</w:t>
      </w:r>
      <w:r w:rsidR="008B25B2" w:rsidRPr="009E22B0">
        <w:t xml:space="preserve"> (</w:t>
      </w:r>
      <w:hyperlink r:id="rId23" w:history="1">
        <w:r w:rsidR="008442CB" w:rsidRPr="00D70CEE">
          <w:rPr>
            <w:rStyle w:val="Hyperlink"/>
          </w:rPr>
          <w:t>sharon.daniels@harrow.gov.uk</w:t>
        </w:r>
      </w:hyperlink>
      <w:r w:rsidR="008B25B2" w:rsidRPr="009E22B0">
        <w:t xml:space="preserve">), </w:t>
      </w:r>
      <w:r w:rsidR="00337B3A">
        <w:t xml:space="preserve">Deputy </w:t>
      </w:r>
      <w:proofErr w:type="gramStart"/>
      <w:r w:rsidR="00337B3A">
        <w:t>sec151</w:t>
      </w:r>
      <w:proofErr w:type="gramEnd"/>
      <w:r w:rsidR="00337B3A">
        <w:t xml:space="preserve"> officer Tel: 020 8424 1332</w:t>
      </w:r>
      <w:r w:rsidR="008B25B2" w:rsidRPr="009E22B0">
        <w:t xml:space="preserve"> </w:t>
      </w:r>
    </w:p>
    <w:p w14:paraId="3BB6CF20" w14:textId="77777777" w:rsidR="0079338C" w:rsidRPr="006B1DE1" w:rsidRDefault="0079338C" w:rsidP="00741AEB"/>
    <w:p w14:paraId="464D05AB" w14:textId="061DFF68" w:rsidR="00BB750C" w:rsidRDefault="00741AEB" w:rsidP="008B25B2">
      <w:pPr>
        <w:pStyle w:val="Infotext"/>
        <w:rPr>
          <w:rStyle w:val="Hyperlink"/>
          <w:b/>
        </w:rPr>
      </w:pPr>
      <w:r w:rsidRPr="006B1DE1">
        <w:rPr>
          <w:b/>
        </w:rPr>
        <w:t>Background Papers</w:t>
      </w:r>
      <w:proofErr w:type="gramStart"/>
      <w:r w:rsidRPr="006B1DE1">
        <w:rPr>
          <w:b/>
        </w:rPr>
        <w:t>:</w:t>
      </w:r>
      <w:r w:rsidR="00BB750C">
        <w:rPr>
          <w:b/>
        </w:rPr>
        <w:t xml:space="preserve"> </w:t>
      </w:r>
      <w:hyperlink r:id="rId24" w:history="1">
        <w:r w:rsidR="00BB750C" w:rsidRPr="00BB750C">
          <w:rPr>
            <w:rStyle w:val="Hyperlink"/>
            <w:b/>
          </w:rPr>
          <w:t>..</w:t>
        </w:r>
        <w:proofErr w:type="gramEnd"/>
        <w:r w:rsidR="00BB750C" w:rsidRPr="00BB750C">
          <w:rPr>
            <w:rStyle w:val="Hyperlink"/>
            <w:b/>
          </w:rPr>
          <w:t>\..\..\..\BUDGET\Budget 2017-18\February Cabinet\Final report\Final Report Appendices for Daksha\V4 Final Budget Report 070217.doc</w:t>
        </w:r>
      </w:hyperlink>
    </w:p>
    <w:p w14:paraId="530AEAE0" w14:textId="3CB24700" w:rsidR="003F5E2F" w:rsidRDefault="005D2E4A" w:rsidP="008B25B2">
      <w:pPr>
        <w:pStyle w:val="Infotext"/>
        <w:rPr>
          <w:b/>
        </w:rPr>
      </w:pPr>
      <w:hyperlink r:id="rId25" w:history="1">
        <w:r w:rsidR="003F5E2F" w:rsidRPr="003F5E2F">
          <w:rPr>
            <w:rStyle w:val="Hyperlink"/>
            <w:b/>
          </w:rPr>
          <w:t>G:\1 Public\Capital programme\2017-18 to 2019-20\February Cabinet\Final February Cabinet\Final version Capital Programme Feb 2017 Cabinet.docx</w:t>
        </w:r>
      </w:hyperlink>
    </w:p>
    <w:p w14:paraId="5599F22A" w14:textId="7E93CFD1" w:rsidR="003F5E2F" w:rsidRDefault="005D2E4A" w:rsidP="008B25B2">
      <w:pPr>
        <w:pStyle w:val="Infotext"/>
        <w:rPr>
          <w:b/>
        </w:rPr>
      </w:pPr>
      <w:hyperlink r:id="rId26" w:history="1">
        <w:r w:rsidR="003F5E2F" w:rsidRPr="003F5E2F">
          <w:rPr>
            <w:rStyle w:val="Hyperlink"/>
            <w:b/>
          </w:rPr>
          <w:t xml:space="preserve">G:\1 Public\Capital programme\2017-18 to 2019-20\February Cabinet\Final February Cabinet\Appendix 1 - 16.17 Capital </w:t>
        </w:r>
        <w:proofErr w:type="gramStart"/>
        <w:r w:rsidR="003F5E2F" w:rsidRPr="003F5E2F">
          <w:rPr>
            <w:rStyle w:val="Hyperlink"/>
            <w:b/>
          </w:rPr>
          <w:t>Programme  restated</w:t>
        </w:r>
        <w:proofErr w:type="gramEnd"/>
        <w:r w:rsidR="003F5E2F" w:rsidRPr="003F5E2F">
          <w:rPr>
            <w:rStyle w:val="Hyperlink"/>
            <w:b/>
          </w:rPr>
          <w:t xml:space="preserve"> V4 18.01.17.xlsx</w:t>
        </w:r>
      </w:hyperlink>
    </w:p>
    <w:p w14:paraId="5827CCFF" w14:textId="42BF2B3C" w:rsidR="00741AEB" w:rsidRPr="006B1DE1" w:rsidRDefault="00741AEB" w:rsidP="008B25B2">
      <w:pPr>
        <w:pStyle w:val="Infotext"/>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86"/>
        <w:gridCol w:w="535"/>
        <w:gridCol w:w="4118"/>
      </w:tblGrid>
      <w:tr w:rsidR="00741AEB" w:rsidRPr="006B1DE1" w14:paraId="5A9BCF13" w14:textId="77777777" w:rsidTr="00741AEB">
        <w:trPr>
          <w:trHeight w:val="965"/>
        </w:trPr>
        <w:tc>
          <w:tcPr>
            <w:tcW w:w="2210" w:type="pct"/>
            <w:tcBorders>
              <w:right w:val="nil"/>
            </w:tcBorders>
          </w:tcPr>
          <w:p w14:paraId="61EC27B1" w14:textId="77777777" w:rsidR="00741AEB" w:rsidRPr="006B1DE1" w:rsidRDefault="00741AEB" w:rsidP="00741AEB">
            <w:pPr>
              <w:pStyle w:val="Infotext"/>
            </w:pPr>
          </w:p>
          <w:p w14:paraId="3BBB9F85" w14:textId="77777777" w:rsidR="00741AEB" w:rsidRPr="006B1DE1" w:rsidRDefault="00741AEB">
            <w:pPr>
              <w:pStyle w:val="Infotext"/>
            </w:pPr>
            <w:r w:rsidRPr="006B1DE1">
              <w:rPr>
                <w:rFonts w:ascii="Arial Black" w:hAnsi="Arial Black"/>
              </w:rPr>
              <w:t>Call-In Waived by the Chairman of Overview and Scrutiny Committee</w:t>
            </w:r>
          </w:p>
        </w:tc>
        <w:tc>
          <w:tcPr>
            <w:tcW w:w="321" w:type="pct"/>
            <w:tcBorders>
              <w:left w:val="nil"/>
              <w:right w:val="nil"/>
            </w:tcBorders>
          </w:tcPr>
          <w:p w14:paraId="27E39293" w14:textId="77777777" w:rsidR="00741AEB" w:rsidRPr="006B1DE1" w:rsidRDefault="00741AEB" w:rsidP="00741AEB">
            <w:pPr>
              <w:pStyle w:val="Infotext"/>
            </w:pPr>
          </w:p>
        </w:tc>
        <w:tc>
          <w:tcPr>
            <w:tcW w:w="2469" w:type="pct"/>
            <w:tcBorders>
              <w:left w:val="nil"/>
            </w:tcBorders>
          </w:tcPr>
          <w:p w14:paraId="607AE266" w14:textId="77777777" w:rsidR="00741AEB" w:rsidRPr="006B1DE1" w:rsidRDefault="00741AEB" w:rsidP="00741AEB">
            <w:pPr>
              <w:pStyle w:val="Infotext"/>
            </w:pPr>
          </w:p>
          <w:p w14:paraId="654C4A74" w14:textId="77777777" w:rsidR="00741AEB" w:rsidRPr="006B1DE1" w:rsidRDefault="00741AEB" w:rsidP="00741AEB">
            <w:pPr>
              <w:pStyle w:val="Infotext"/>
            </w:pPr>
            <w:r w:rsidRPr="006B1DE1">
              <w:rPr>
                <w:b/>
              </w:rPr>
              <w:t>NOT APPLICABLE</w:t>
            </w:r>
          </w:p>
          <w:p w14:paraId="3AD13775" w14:textId="77777777" w:rsidR="00741AEB" w:rsidRPr="006B1DE1" w:rsidRDefault="00741AEB" w:rsidP="00741AEB">
            <w:pPr>
              <w:pStyle w:val="Infotext"/>
            </w:pPr>
          </w:p>
          <w:p w14:paraId="07494BE3" w14:textId="77777777" w:rsidR="00741AEB" w:rsidRPr="005D2E4A" w:rsidRDefault="00741AEB" w:rsidP="00741AEB">
            <w:pPr>
              <w:pStyle w:val="Infotext"/>
              <w:rPr>
                <w:i/>
              </w:rPr>
            </w:pPr>
            <w:r w:rsidRPr="005D2E4A">
              <w:rPr>
                <w:i/>
              </w:rPr>
              <w:t>[Call-in applies]</w:t>
            </w:r>
          </w:p>
          <w:p w14:paraId="21F108C7" w14:textId="77777777" w:rsidR="00741AEB" w:rsidRPr="006B1DE1" w:rsidRDefault="00741AEB" w:rsidP="00741AEB">
            <w:pPr>
              <w:pStyle w:val="Infotext"/>
            </w:pPr>
          </w:p>
          <w:p w14:paraId="36EA6E72" w14:textId="77777777" w:rsidR="00741AEB" w:rsidRPr="006B1DE1" w:rsidRDefault="00741AEB" w:rsidP="00741AEB">
            <w:pPr>
              <w:pStyle w:val="Infotext"/>
              <w:ind w:left="173"/>
              <w:rPr>
                <w:i/>
                <w:sz w:val="24"/>
                <w:szCs w:val="24"/>
              </w:rPr>
            </w:pPr>
          </w:p>
        </w:tc>
      </w:tr>
    </w:tbl>
    <w:p w14:paraId="259BE3BB" w14:textId="77777777" w:rsidR="005D2E4A" w:rsidRDefault="005D2E4A" w:rsidP="00BB0A57">
      <w:pPr>
        <w:rPr>
          <w:b/>
          <w:szCs w:val="24"/>
        </w:rPr>
      </w:pPr>
    </w:p>
    <w:p w14:paraId="644AD678" w14:textId="7FA6F2A1" w:rsidR="00C541A8" w:rsidRDefault="00500764" w:rsidP="00BB0A57">
      <w:pPr>
        <w:rPr>
          <w:b/>
          <w:szCs w:val="24"/>
        </w:rPr>
      </w:pPr>
      <w:bookmarkStart w:id="1" w:name="_GoBack"/>
      <w:bookmarkEnd w:id="1"/>
      <w:r>
        <w:rPr>
          <w:b/>
          <w:szCs w:val="24"/>
        </w:rPr>
        <w:lastRenderedPageBreak/>
        <w:t xml:space="preserve">Revenue Summary </w:t>
      </w:r>
      <w:r>
        <w:rPr>
          <w:b/>
          <w:szCs w:val="24"/>
        </w:rPr>
        <w:tab/>
      </w:r>
      <w:r>
        <w:rPr>
          <w:b/>
          <w:szCs w:val="24"/>
        </w:rPr>
        <w:tab/>
      </w:r>
      <w:r>
        <w:rPr>
          <w:b/>
          <w:szCs w:val="24"/>
        </w:rPr>
        <w:tab/>
      </w:r>
      <w:r>
        <w:rPr>
          <w:b/>
          <w:szCs w:val="24"/>
        </w:rPr>
        <w:tab/>
      </w:r>
      <w:r>
        <w:rPr>
          <w:b/>
          <w:szCs w:val="24"/>
        </w:rPr>
        <w:tab/>
      </w:r>
      <w:r>
        <w:rPr>
          <w:b/>
          <w:szCs w:val="24"/>
        </w:rPr>
        <w:tab/>
      </w:r>
      <w:r w:rsidR="00B93242">
        <w:rPr>
          <w:b/>
          <w:szCs w:val="24"/>
        </w:rPr>
        <w:t>Appendix 1</w:t>
      </w:r>
    </w:p>
    <w:p w14:paraId="5F34CE36" w14:textId="64B24EC0" w:rsidR="00A87D50" w:rsidRPr="006B1DE1" w:rsidRDefault="00B93242" w:rsidP="00222641">
      <w:pPr>
        <w:rPr>
          <w:b/>
        </w:rPr>
      </w:pPr>
      <w:r w:rsidRPr="00B93242">
        <w:rPr>
          <w:noProof/>
          <w:lang w:eastAsia="en-GB"/>
        </w:rPr>
        <w:drawing>
          <wp:inline distT="0" distB="0" distL="0" distR="0" wp14:anchorId="277605EE" wp14:editId="222CE62C">
            <wp:extent cx="5156645" cy="8899301"/>
            <wp:effectExtent l="0" t="0" r="635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158105" cy="8901821"/>
                    </a:xfrm>
                    <a:prstGeom prst="rect">
                      <a:avLst/>
                    </a:prstGeom>
                    <a:noFill/>
                    <a:ln>
                      <a:noFill/>
                    </a:ln>
                  </pic:spPr>
                </pic:pic>
              </a:graphicData>
            </a:graphic>
          </wp:inline>
        </w:drawing>
      </w:r>
      <w:r w:rsidR="002310F3">
        <w:rPr>
          <w:b/>
          <w:szCs w:val="24"/>
        </w:rPr>
        <w:tab/>
      </w:r>
      <w:r w:rsidR="002310F3">
        <w:rPr>
          <w:b/>
          <w:szCs w:val="24"/>
        </w:rPr>
        <w:tab/>
      </w:r>
      <w:r w:rsidR="002310F3">
        <w:rPr>
          <w:b/>
          <w:szCs w:val="24"/>
        </w:rPr>
        <w:tab/>
      </w:r>
      <w:r w:rsidR="002310F3">
        <w:rPr>
          <w:b/>
          <w:szCs w:val="24"/>
        </w:rPr>
        <w:tab/>
      </w:r>
    </w:p>
    <w:sectPr w:rsidR="00A87D50" w:rsidRPr="006B1DE1" w:rsidSect="008D540C">
      <w:headerReference w:type="even" r:id="rId28"/>
      <w:headerReference w:type="default" r:id="rId29"/>
      <w:footerReference w:type="even" r:id="rId30"/>
      <w:footerReference w:type="default" r:id="rId31"/>
      <w:headerReference w:type="first" r:id="rId32"/>
      <w:footerReference w:type="first" r:id="rId33"/>
      <w:pgSz w:w="11909" w:h="16834" w:code="9"/>
      <w:pgMar w:top="720" w:right="1986" w:bottom="1152" w:left="1800"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8078AB" w14:textId="77777777" w:rsidR="00381603" w:rsidRDefault="00381603">
      <w:r>
        <w:separator/>
      </w:r>
    </w:p>
  </w:endnote>
  <w:endnote w:type="continuationSeparator" w:id="0">
    <w:p w14:paraId="36F70ECB" w14:textId="77777777" w:rsidR="00381603" w:rsidRDefault="003816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
    <w:altName w:val="Arial Unicode MS"/>
    <w:panose1 w:val="00000000000000000000"/>
    <w:charset w:val="80"/>
    <w:family w:val="auto"/>
    <w:notTrueType/>
    <w:pitch w:val="variable"/>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28A712" w14:textId="77777777" w:rsidR="00381603" w:rsidRDefault="0038160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2812300"/>
      <w:docPartObj>
        <w:docPartGallery w:val="Page Numbers (Bottom of Page)"/>
        <w:docPartUnique/>
      </w:docPartObj>
    </w:sdtPr>
    <w:sdtEndPr>
      <w:rPr>
        <w:noProof/>
      </w:rPr>
    </w:sdtEndPr>
    <w:sdtContent>
      <w:p w14:paraId="00E5DD14" w14:textId="77777777" w:rsidR="00381603" w:rsidRDefault="00381603">
        <w:pPr>
          <w:pStyle w:val="Footer"/>
          <w:jc w:val="center"/>
        </w:pPr>
        <w:r>
          <w:fldChar w:fldCharType="begin"/>
        </w:r>
        <w:r>
          <w:instrText xml:space="preserve"> PAGE   \* MERGEFORMAT </w:instrText>
        </w:r>
        <w:r>
          <w:fldChar w:fldCharType="separate"/>
        </w:r>
        <w:r w:rsidR="005D2E4A">
          <w:rPr>
            <w:noProof/>
          </w:rPr>
          <w:t>2</w:t>
        </w:r>
        <w:r>
          <w:rPr>
            <w:noProof/>
          </w:rPr>
          <w:fldChar w:fldCharType="end"/>
        </w:r>
      </w:p>
    </w:sdtContent>
  </w:sdt>
  <w:p w14:paraId="0D5EFBE5" w14:textId="77777777" w:rsidR="00381603" w:rsidRDefault="0038160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901FBE" w14:textId="77777777" w:rsidR="00381603" w:rsidRDefault="003816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C9A1ED" w14:textId="77777777" w:rsidR="00381603" w:rsidRDefault="00381603">
      <w:r>
        <w:separator/>
      </w:r>
    </w:p>
  </w:footnote>
  <w:footnote w:type="continuationSeparator" w:id="0">
    <w:p w14:paraId="6DF92CA2" w14:textId="77777777" w:rsidR="00381603" w:rsidRDefault="003816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AFDEA5" w14:textId="77777777" w:rsidR="00381603" w:rsidRDefault="0038160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170E64" w14:textId="28CCA47D" w:rsidR="00381603" w:rsidRDefault="0038160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7D8FE7" w14:textId="518A5451" w:rsidR="00381603" w:rsidRDefault="0038160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F521D"/>
    <w:multiLevelType w:val="multilevel"/>
    <w:tmpl w:val="780A9946"/>
    <w:lvl w:ilvl="0">
      <w:start w:val="2"/>
      <w:numFmt w:val="decimal"/>
      <w:lvlText w:val="%1"/>
      <w:lvlJc w:val="left"/>
      <w:pPr>
        <w:ind w:left="465" w:hanging="465"/>
      </w:pPr>
      <w:rPr>
        <w:rFonts w:hint="default"/>
        <w:b/>
      </w:rPr>
    </w:lvl>
    <w:lvl w:ilvl="1">
      <w:start w:val="29"/>
      <w:numFmt w:val="decimal"/>
      <w:lvlText w:val="%1.31"/>
      <w:lvlJc w:val="left"/>
      <w:pPr>
        <w:ind w:left="749" w:hanging="465"/>
      </w:pPr>
      <w:rPr>
        <w:rFonts w:hint="default"/>
        <w:b w:val="0"/>
      </w:rPr>
    </w:lvl>
    <w:lvl w:ilvl="2">
      <w:start w:val="1"/>
      <w:numFmt w:val="decimal"/>
      <w:lvlText w:val="%1.%2.%3"/>
      <w:lvlJc w:val="left"/>
      <w:pPr>
        <w:ind w:left="1288" w:hanging="720"/>
      </w:pPr>
      <w:rPr>
        <w:rFonts w:hint="default"/>
        <w:b/>
      </w:rPr>
    </w:lvl>
    <w:lvl w:ilvl="3">
      <w:start w:val="1"/>
      <w:numFmt w:val="decimal"/>
      <w:lvlText w:val="%1.%2.%3.%4"/>
      <w:lvlJc w:val="left"/>
      <w:pPr>
        <w:ind w:left="1932" w:hanging="1080"/>
      </w:pPr>
      <w:rPr>
        <w:rFonts w:hint="default"/>
        <w:b/>
      </w:rPr>
    </w:lvl>
    <w:lvl w:ilvl="4">
      <w:start w:val="1"/>
      <w:numFmt w:val="decimal"/>
      <w:lvlText w:val="%1.%2.%3.%4.%5"/>
      <w:lvlJc w:val="left"/>
      <w:pPr>
        <w:ind w:left="2216" w:hanging="1080"/>
      </w:pPr>
      <w:rPr>
        <w:rFonts w:hint="default"/>
        <w:b/>
      </w:rPr>
    </w:lvl>
    <w:lvl w:ilvl="5">
      <w:start w:val="1"/>
      <w:numFmt w:val="decimal"/>
      <w:lvlText w:val="%1.%2.%3.%4.%5.%6"/>
      <w:lvlJc w:val="left"/>
      <w:pPr>
        <w:ind w:left="2860" w:hanging="1440"/>
      </w:pPr>
      <w:rPr>
        <w:rFonts w:hint="default"/>
        <w:b/>
      </w:rPr>
    </w:lvl>
    <w:lvl w:ilvl="6">
      <w:start w:val="1"/>
      <w:numFmt w:val="decimal"/>
      <w:lvlText w:val="%1.%2.%3.%4.%5.%6.%7"/>
      <w:lvlJc w:val="left"/>
      <w:pPr>
        <w:ind w:left="3144" w:hanging="1440"/>
      </w:pPr>
      <w:rPr>
        <w:rFonts w:hint="default"/>
        <w:b/>
      </w:rPr>
    </w:lvl>
    <w:lvl w:ilvl="7">
      <w:start w:val="1"/>
      <w:numFmt w:val="decimal"/>
      <w:lvlText w:val="%1.%2.%3.%4.%5.%6.%7.%8"/>
      <w:lvlJc w:val="left"/>
      <w:pPr>
        <w:ind w:left="3788" w:hanging="1800"/>
      </w:pPr>
      <w:rPr>
        <w:rFonts w:hint="default"/>
        <w:b/>
      </w:rPr>
    </w:lvl>
    <w:lvl w:ilvl="8">
      <w:start w:val="1"/>
      <w:numFmt w:val="decimal"/>
      <w:lvlText w:val="%1.%2.%3.%4.%5.%6.%7.%8.%9"/>
      <w:lvlJc w:val="left"/>
      <w:pPr>
        <w:ind w:left="4072" w:hanging="1800"/>
      </w:pPr>
      <w:rPr>
        <w:rFonts w:hint="default"/>
        <w:b/>
      </w:rPr>
    </w:lvl>
  </w:abstractNum>
  <w:abstractNum w:abstractNumId="1">
    <w:nsid w:val="02E004A4"/>
    <w:multiLevelType w:val="hybridMultilevel"/>
    <w:tmpl w:val="48CE5584"/>
    <w:lvl w:ilvl="0" w:tplc="429008EA">
      <w:start w:val="2"/>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04BD024F"/>
    <w:multiLevelType w:val="multilevel"/>
    <w:tmpl w:val="1F822C1C"/>
    <w:lvl w:ilvl="0">
      <w:start w:val="1"/>
      <w:numFmt w:val="decimal"/>
      <w:lvlText w:val="%1"/>
      <w:lvlJc w:val="left"/>
      <w:pPr>
        <w:ind w:left="360" w:hanging="360"/>
      </w:pPr>
      <w:rPr>
        <w:rFonts w:hint="default"/>
      </w:rPr>
    </w:lvl>
    <w:lvl w:ilvl="1">
      <w:start w:val="1"/>
      <w:numFmt w:val="decimal"/>
      <w:lvlText w:val="%2.0"/>
      <w:lvlJc w:val="left"/>
      <w:pPr>
        <w:ind w:left="360" w:hanging="360"/>
      </w:pPr>
      <w:rPr>
        <w:rFonts w:hint="default"/>
      </w:rPr>
    </w:lvl>
    <w:lvl w:ilvl="2">
      <w:start w:val="1"/>
      <w:numFmt w:val="none"/>
      <w:lvlText w:val="1.1"/>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04DD4288"/>
    <w:multiLevelType w:val="multilevel"/>
    <w:tmpl w:val="0A083370"/>
    <w:lvl w:ilvl="0">
      <w:start w:val="1"/>
      <w:numFmt w:val="decimal"/>
      <w:lvlText w:val="%1.1"/>
      <w:lvlJc w:val="left"/>
      <w:pPr>
        <w:ind w:left="786" w:hanging="360"/>
      </w:pPr>
      <w:rPr>
        <w:rFonts w:hint="default"/>
      </w:rPr>
    </w:lvl>
    <w:lvl w:ilvl="1">
      <w:start w:val="1"/>
      <w:numFmt w:val="none"/>
      <w:lvlText w:val="2.1"/>
      <w:lvlJc w:val="left"/>
      <w:pPr>
        <w:ind w:left="360" w:hanging="360"/>
      </w:pPr>
      <w:rPr>
        <w:rFonts w:hint="default"/>
      </w:rPr>
    </w:lvl>
    <w:lvl w:ilvl="2">
      <w:start w:val="2"/>
      <w:numFmt w:val="decimal"/>
      <w:lvlText w:val="%3.0"/>
      <w:lvlJc w:val="left"/>
      <w:pPr>
        <w:ind w:left="862"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08CE790C"/>
    <w:multiLevelType w:val="multilevel"/>
    <w:tmpl w:val="7A128866"/>
    <w:lvl w:ilvl="0">
      <w:start w:val="2"/>
      <w:numFmt w:val="decimal"/>
      <w:lvlText w:val="%1.0"/>
      <w:lvlJc w:val="left"/>
      <w:pPr>
        <w:ind w:left="405" w:hanging="405"/>
      </w:pPr>
      <w:rPr>
        <w:rFonts w:hint="default"/>
        <w:b/>
      </w:rPr>
    </w:lvl>
    <w:lvl w:ilvl="1">
      <w:start w:val="1"/>
      <w:numFmt w:val="decimal"/>
      <w:lvlText w:val="4.%2"/>
      <w:lvlJc w:val="left"/>
      <w:pPr>
        <w:ind w:left="689" w:hanging="405"/>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5">
    <w:nsid w:val="09A23640"/>
    <w:multiLevelType w:val="hybridMultilevel"/>
    <w:tmpl w:val="CA3A952E"/>
    <w:lvl w:ilvl="0" w:tplc="AE28B822">
      <w:start w:val="1"/>
      <w:numFmt w:val="decimal"/>
      <w:lvlText w:val="2.3%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0ACC757C"/>
    <w:multiLevelType w:val="hybridMultilevel"/>
    <w:tmpl w:val="79D0C73C"/>
    <w:lvl w:ilvl="0" w:tplc="66C4F04E">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0AD66AB4"/>
    <w:multiLevelType w:val="multilevel"/>
    <w:tmpl w:val="0BDA139E"/>
    <w:lvl w:ilvl="0">
      <w:start w:val="1"/>
      <w:numFmt w:val="none"/>
      <w:lvlText w:val="1.1"/>
      <w:lvlJc w:val="left"/>
      <w:pPr>
        <w:ind w:left="360" w:hanging="360"/>
      </w:pPr>
      <w:rPr>
        <w:rFonts w:hint="default"/>
      </w:rPr>
    </w:lvl>
    <w:lvl w:ilvl="1">
      <w:start w:val="1"/>
      <w:numFmt w:val="none"/>
      <w:lvlText w:val="2.1"/>
      <w:lvlJc w:val="left"/>
      <w:pPr>
        <w:ind w:left="360" w:hanging="360"/>
      </w:pPr>
      <w:rPr>
        <w:rFonts w:hint="default"/>
      </w:rPr>
    </w:lvl>
    <w:lvl w:ilvl="2">
      <w:start w:val="1"/>
      <w:numFmt w:val="none"/>
      <w:lvlText w:val="1.2"/>
      <w:lvlJc w:val="left"/>
      <w:pPr>
        <w:ind w:left="1146"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0D907F0D"/>
    <w:multiLevelType w:val="multilevel"/>
    <w:tmpl w:val="7188D9DE"/>
    <w:lvl w:ilvl="0">
      <w:start w:val="2"/>
      <w:numFmt w:val="decimal"/>
      <w:lvlText w:val="%1"/>
      <w:lvlJc w:val="left"/>
      <w:pPr>
        <w:ind w:left="465" w:hanging="465"/>
      </w:pPr>
      <w:rPr>
        <w:rFonts w:hint="default"/>
      </w:rPr>
    </w:lvl>
    <w:lvl w:ilvl="1">
      <w:numFmt w:val="decimal"/>
      <w:lvlText w:val="2.5%2"/>
      <w:lvlJc w:val="left"/>
      <w:pPr>
        <w:ind w:left="749" w:hanging="465"/>
      </w:pPr>
      <w:rPr>
        <w:rFonts w:hint="default"/>
      </w:rPr>
    </w:lvl>
    <w:lvl w:ilvl="2">
      <w:start w:val="1"/>
      <w:numFmt w:val="decimal"/>
      <w:lvlText w:val="%1.%2.%3"/>
      <w:lvlJc w:val="left"/>
      <w:pPr>
        <w:ind w:left="2098" w:hanging="720"/>
      </w:pPr>
      <w:rPr>
        <w:rFonts w:hint="default"/>
      </w:rPr>
    </w:lvl>
    <w:lvl w:ilvl="3">
      <w:start w:val="1"/>
      <w:numFmt w:val="decimal"/>
      <w:lvlText w:val="%1.%2.%3.%4"/>
      <w:lvlJc w:val="left"/>
      <w:pPr>
        <w:ind w:left="3147" w:hanging="1080"/>
      </w:pPr>
      <w:rPr>
        <w:rFonts w:hint="default"/>
      </w:rPr>
    </w:lvl>
    <w:lvl w:ilvl="4">
      <w:start w:val="1"/>
      <w:numFmt w:val="decimal"/>
      <w:lvlText w:val="%1.%2.%3.%4.%5"/>
      <w:lvlJc w:val="left"/>
      <w:pPr>
        <w:ind w:left="3836" w:hanging="1080"/>
      </w:pPr>
      <w:rPr>
        <w:rFonts w:hint="default"/>
      </w:rPr>
    </w:lvl>
    <w:lvl w:ilvl="5">
      <w:start w:val="1"/>
      <w:numFmt w:val="decimal"/>
      <w:lvlText w:val="%1.%2.%3.%4.%5.%6"/>
      <w:lvlJc w:val="left"/>
      <w:pPr>
        <w:ind w:left="4885" w:hanging="1440"/>
      </w:pPr>
      <w:rPr>
        <w:rFonts w:hint="default"/>
      </w:rPr>
    </w:lvl>
    <w:lvl w:ilvl="6">
      <w:start w:val="1"/>
      <w:numFmt w:val="decimal"/>
      <w:lvlText w:val="%1.%2.%3.%4.%5.%6.%7"/>
      <w:lvlJc w:val="left"/>
      <w:pPr>
        <w:ind w:left="5574" w:hanging="1440"/>
      </w:pPr>
      <w:rPr>
        <w:rFonts w:hint="default"/>
      </w:rPr>
    </w:lvl>
    <w:lvl w:ilvl="7">
      <w:start w:val="1"/>
      <w:numFmt w:val="decimal"/>
      <w:lvlText w:val="%1.%2.%3.%4.%5.%6.%7.%8"/>
      <w:lvlJc w:val="left"/>
      <w:pPr>
        <w:ind w:left="6623" w:hanging="1800"/>
      </w:pPr>
      <w:rPr>
        <w:rFonts w:hint="default"/>
      </w:rPr>
    </w:lvl>
    <w:lvl w:ilvl="8">
      <w:start w:val="1"/>
      <w:numFmt w:val="decimal"/>
      <w:lvlText w:val="%1.%2.%3.%4.%5.%6.%7.%8.%9"/>
      <w:lvlJc w:val="left"/>
      <w:pPr>
        <w:ind w:left="7312" w:hanging="1800"/>
      </w:pPr>
      <w:rPr>
        <w:rFonts w:hint="default"/>
      </w:rPr>
    </w:lvl>
  </w:abstractNum>
  <w:abstractNum w:abstractNumId="9">
    <w:nsid w:val="0E450D37"/>
    <w:multiLevelType w:val="multilevel"/>
    <w:tmpl w:val="3E46951E"/>
    <w:lvl w:ilvl="0">
      <w:start w:val="2"/>
      <w:numFmt w:val="decimal"/>
      <w:lvlText w:val="%1.0"/>
      <w:lvlJc w:val="left"/>
      <w:pPr>
        <w:ind w:left="405" w:hanging="405"/>
      </w:pPr>
      <w:rPr>
        <w:rFonts w:hint="default"/>
        <w:b/>
      </w:rPr>
    </w:lvl>
    <w:lvl w:ilvl="1">
      <w:start w:val="1"/>
      <w:numFmt w:val="decimal"/>
      <w:lvlText w:val="2.%20"/>
      <w:lvlJc w:val="left"/>
      <w:pPr>
        <w:ind w:left="624" w:hanging="198"/>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0">
    <w:nsid w:val="18C02EFD"/>
    <w:multiLevelType w:val="hybridMultilevel"/>
    <w:tmpl w:val="1F44B88E"/>
    <w:lvl w:ilvl="0" w:tplc="C366B5E8">
      <w:start w:val="1"/>
      <w:numFmt w:val="decimal"/>
      <w:lvlText w:val="2.5%1"/>
      <w:lvlJc w:val="center"/>
      <w:pPr>
        <w:ind w:left="164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192017C2"/>
    <w:multiLevelType w:val="multilevel"/>
    <w:tmpl w:val="D216183A"/>
    <w:lvl w:ilvl="0">
      <w:start w:val="2"/>
      <w:numFmt w:val="decimal"/>
      <w:lvlText w:val="%1"/>
      <w:lvlJc w:val="left"/>
      <w:pPr>
        <w:ind w:left="465" w:hanging="465"/>
      </w:pPr>
      <w:rPr>
        <w:rFonts w:hint="default"/>
      </w:rPr>
    </w:lvl>
    <w:lvl w:ilvl="1">
      <w:start w:val="5"/>
      <w:numFmt w:val="decimal"/>
      <w:lvlText w:val="2.4%2"/>
      <w:lvlJc w:val="left"/>
      <w:pPr>
        <w:ind w:left="749" w:hanging="465"/>
      </w:pPr>
      <w:rPr>
        <w:rFonts w:hint="default"/>
      </w:rPr>
    </w:lvl>
    <w:lvl w:ilvl="2">
      <w:start w:val="1"/>
      <w:numFmt w:val="decimal"/>
      <w:lvlText w:val="%1.%2.%3"/>
      <w:lvlJc w:val="left"/>
      <w:pPr>
        <w:ind w:left="2098" w:hanging="720"/>
      </w:pPr>
      <w:rPr>
        <w:rFonts w:hint="default"/>
      </w:rPr>
    </w:lvl>
    <w:lvl w:ilvl="3">
      <w:start w:val="1"/>
      <w:numFmt w:val="decimal"/>
      <w:lvlText w:val="%1.%2.%3.%4"/>
      <w:lvlJc w:val="left"/>
      <w:pPr>
        <w:ind w:left="3147" w:hanging="1080"/>
      </w:pPr>
      <w:rPr>
        <w:rFonts w:hint="default"/>
      </w:rPr>
    </w:lvl>
    <w:lvl w:ilvl="4">
      <w:start w:val="1"/>
      <w:numFmt w:val="decimal"/>
      <w:lvlText w:val="%1.%2.%3.%4.%5"/>
      <w:lvlJc w:val="left"/>
      <w:pPr>
        <w:ind w:left="3836" w:hanging="1080"/>
      </w:pPr>
      <w:rPr>
        <w:rFonts w:hint="default"/>
      </w:rPr>
    </w:lvl>
    <w:lvl w:ilvl="5">
      <w:start w:val="1"/>
      <w:numFmt w:val="decimal"/>
      <w:lvlText w:val="%1.%2.%3.%4.%5.%6"/>
      <w:lvlJc w:val="left"/>
      <w:pPr>
        <w:ind w:left="4885" w:hanging="1440"/>
      </w:pPr>
      <w:rPr>
        <w:rFonts w:hint="default"/>
      </w:rPr>
    </w:lvl>
    <w:lvl w:ilvl="6">
      <w:start w:val="1"/>
      <w:numFmt w:val="decimal"/>
      <w:lvlText w:val="%1.%2.%3.%4.%5.%6.%7"/>
      <w:lvlJc w:val="left"/>
      <w:pPr>
        <w:ind w:left="5574" w:hanging="1440"/>
      </w:pPr>
      <w:rPr>
        <w:rFonts w:hint="default"/>
      </w:rPr>
    </w:lvl>
    <w:lvl w:ilvl="7">
      <w:start w:val="1"/>
      <w:numFmt w:val="decimal"/>
      <w:lvlText w:val="%1.%2.%3.%4.%5.%6.%7.%8"/>
      <w:lvlJc w:val="left"/>
      <w:pPr>
        <w:ind w:left="6623" w:hanging="1800"/>
      </w:pPr>
      <w:rPr>
        <w:rFonts w:hint="default"/>
      </w:rPr>
    </w:lvl>
    <w:lvl w:ilvl="8">
      <w:start w:val="1"/>
      <w:numFmt w:val="decimal"/>
      <w:lvlText w:val="%1.%2.%3.%4.%5.%6.%7.%8.%9"/>
      <w:lvlJc w:val="left"/>
      <w:pPr>
        <w:ind w:left="7312" w:hanging="1800"/>
      </w:pPr>
      <w:rPr>
        <w:rFonts w:hint="default"/>
      </w:rPr>
    </w:lvl>
  </w:abstractNum>
  <w:abstractNum w:abstractNumId="12">
    <w:nsid w:val="1A3339BB"/>
    <w:multiLevelType w:val="hybridMultilevel"/>
    <w:tmpl w:val="D346C9DE"/>
    <w:lvl w:ilvl="0" w:tplc="3FAE4F3E">
      <w:start w:val="1"/>
      <w:numFmt w:val="decimal"/>
      <w:lvlText w:val="2.2%1"/>
      <w:lvlJc w:val="left"/>
      <w:pPr>
        <w:ind w:left="882" w:hanging="360"/>
      </w:pPr>
      <w:rPr>
        <w:rFonts w:hint="default"/>
      </w:rPr>
    </w:lvl>
    <w:lvl w:ilvl="1" w:tplc="08090019" w:tentative="1">
      <w:start w:val="1"/>
      <w:numFmt w:val="lowerLetter"/>
      <w:lvlText w:val="%2."/>
      <w:lvlJc w:val="left"/>
      <w:pPr>
        <w:ind w:left="1602" w:hanging="360"/>
      </w:pPr>
    </w:lvl>
    <w:lvl w:ilvl="2" w:tplc="0809001B" w:tentative="1">
      <w:start w:val="1"/>
      <w:numFmt w:val="lowerRoman"/>
      <w:lvlText w:val="%3."/>
      <w:lvlJc w:val="right"/>
      <w:pPr>
        <w:ind w:left="2322" w:hanging="180"/>
      </w:pPr>
    </w:lvl>
    <w:lvl w:ilvl="3" w:tplc="0809000F" w:tentative="1">
      <w:start w:val="1"/>
      <w:numFmt w:val="decimal"/>
      <w:lvlText w:val="%4."/>
      <w:lvlJc w:val="left"/>
      <w:pPr>
        <w:ind w:left="3042" w:hanging="360"/>
      </w:pPr>
    </w:lvl>
    <w:lvl w:ilvl="4" w:tplc="08090019" w:tentative="1">
      <w:start w:val="1"/>
      <w:numFmt w:val="lowerLetter"/>
      <w:lvlText w:val="%5."/>
      <w:lvlJc w:val="left"/>
      <w:pPr>
        <w:ind w:left="3762" w:hanging="360"/>
      </w:pPr>
    </w:lvl>
    <w:lvl w:ilvl="5" w:tplc="0809001B" w:tentative="1">
      <w:start w:val="1"/>
      <w:numFmt w:val="lowerRoman"/>
      <w:lvlText w:val="%6."/>
      <w:lvlJc w:val="right"/>
      <w:pPr>
        <w:ind w:left="4482" w:hanging="180"/>
      </w:pPr>
    </w:lvl>
    <w:lvl w:ilvl="6" w:tplc="0809000F" w:tentative="1">
      <w:start w:val="1"/>
      <w:numFmt w:val="decimal"/>
      <w:lvlText w:val="%7."/>
      <w:lvlJc w:val="left"/>
      <w:pPr>
        <w:ind w:left="5202" w:hanging="360"/>
      </w:pPr>
    </w:lvl>
    <w:lvl w:ilvl="7" w:tplc="08090019" w:tentative="1">
      <w:start w:val="1"/>
      <w:numFmt w:val="lowerLetter"/>
      <w:lvlText w:val="%8."/>
      <w:lvlJc w:val="left"/>
      <w:pPr>
        <w:ind w:left="5922" w:hanging="360"/>
      </w:pPr>
    </w:lvl>
    <w:lvl w:ilvl="8" w:tplc="0809001B" w:tentative="1">
      <w:start w:val="1"/>
      <w:numFmt w:val="lowerRoman"/>
      <w:lvlText w:val="%9."/>
      <w:lvlJc w:val="right"/>
      <w:pPr>
        <w:ind w:left="6642" w:hanging="180"/>
      </w:pPr>
    </w:lvl>
  </w:abstractNum>
  <w:abstractNum w:abstractNumId="13">
    <w:nsid w:val="1C202E04"/>
    <w:multiLevelType w:val="multilevel"/>
    <w:tmpl w:val="4BA67200"/>
    <w:lvl w:ilvl="0">
      <w:start w:val="2"/>
      <w:numFmt w:val="decimal"/>
      <w:lvlText w:val="%1.5"/>
      <w:lvlJc w:val="left"/>
      <w:pPr>
        <w:ind w:left="405" w:hanging="405"/>
      </w:pPr>
      <w:rPr>
        <w:rFonts w:hint="default"/>
        <w:b/>
      </w:rPr>
    </w:lvl>
    <w:lvl w:ilvl="1">
      <w:start w:val="1"/>
      <w:numFmt w:val="decimal"/>
      <w:lvlText w:val="2.4%2"/>
      <w:lvlJc w:val="left"/>
      <w:pPr>
        <w:ind w:left="689" w:hanging="405"/>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4">
    <w:nsid w:val="1C7440D4"/>
    <w:multiLevelType w:val="multilevel"/>
    <w:tmpl w:val="9D4AADB2"/>
    <w:lvl w:ilvl="0">
      <w:start w:val="2"/>
      <w:numFmt w:val="decimal"/>
      <w:lvlText w:val="%1"/>
      <w:lvlJc w:val="left"/>
      <w:pPr>
        <w:ind w:left="465" w:hanging="465"/>
      </w:pPr>
      <w:rPr>
        <w:rFonts w:hint="default"/>
      </w:rPr>
    </w:lvl>
    <w:lvl w:ilvl="1">
      <w:start w:val="1"/>
      <w:numFmt w:val="decimal"/>
      <w:lvlText w:val="2.5%2"/>
      <w:lvlJc w:val="center"/>
      <w:pPr>
        <w:ind w:left="465" w:hanging="465"/>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nsid w:val="1E11315D"/>
    <w:multiLevelType w:val="hybridMultilevel"/>
    <w:tmpl w:val="FA346290"/>
    <w:lvl w:ilvl="0" w:tplc="0F5810FC">
      <w:start w:val="5"/>
      <w:numFmt w:val="decimal"/>
      <w:lvlText w:val="2.2%1"/>
      <w:lvlJc w:val="left"/>
      <w:pPr>
        <w:ind w:left="86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1EEB4A38"/>
    <w:multiLevelType w:val="hybridMultilevel"/>
    <w:tmpl w:val="05E0BC7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7">
    <w:nsid w:val="21852EE4"/>
    <w:multiLevelType w:val="hybridMultilevel"/>
    <w:tmpl w:val="C9E4BF78"/>
    <w:lvl w:ilvl="0" w:tplc="D2EA00CC">
      <w:start w:val="5"/>
      <w:numFmt w:val="decimal"/>
      <w:lvlText w:val="%1.1"/>
      <w:lvlJc w:val="left"/>
      <w:pPr>
        <w:ind w:left="502" w:hanging="360"/>
      </w:pPr>
      <w:rPr>
        <w:rFonts w:hint="default"/>
        <w:b w:val="0"/>
      </w:rPr>
    </w:lvl>
    <w:lvl w:ilvl="1" w:tplc="08090019" w:tentative="1">
      <w:start w:val="1"/>
      <w:numFmt w:val="lowerLetter"/>
      <w:lvlText w:val="%2."/>
      <w:lvlJc w:val="left"/>
      <w:pPr>
        <w:ind w:left="654" w:hanging="360"/>
      </w:pPr>
    </w:lvl>
    <w:lvl w:ilvl="2" w:tplc="0809001B" w:tentative="1">
      <w:start w:val="1"/>
      <w:numFmt w:val="lowerRoman"/>
      <w:lvlText w:val="%3."/>
      <w:lvlJc w:val="right"/>
      <w:pPr>
        <w:ind w:left="1374" w:hanging="180"/>
      </w:pPr>
    </w:lvl>
    <w:lvl w:ilvl="3" w:tplc="0809000F" w:tentative="1">
      <w:start w:val="1"/>
      <w:numFmt w:val="decimal"/>
      <w:lvlText w:val="%4."/>
      <w:lvlJc w:val="left"/>
      <w:pPr>
        <w:ind w:left="2094" w:hanging="360"/>
      </w:pPr>
    </w:lvl>
    <w:lvl w:ilvl="4" w:tplc="08090019" w:tentative="1">
      <w:start w:val="1"/>
      <w:numFmt w:val="lowerLetter"/>
      <w:lvlText w:val="%5."/>
      <w:lvlJc w:val="left"/>
      <w:pPr>
        <w:ind w:left="2814" w:hanging="360"/>
      </w:pPr>
    </w:lvl>
    <w:lvl w:ilvl="5" w:tplc="0809001B" w:tentative="1">
      <w:start w:val="1"/>
      <w:numFmt w:val="lowerRoman"/>
      <w:lvlText w:val="%6."/>
      <w:lvlJc w:val="right"/>
      <w:pPr>
        <w:ind w:left="3534" w:hanging="180"/>
      </w:pPr>
    </w:lvl>
    <w:lvl w:ilvl="6" w:tplc="0809000F" w:tentative="1">
      <w:start w:val="1"/>
      <w:numFmt w:val="decimal"/>
      <w:lvlText w:val="%7."/>
      <w:lvlJc w:val="left"/>
      <w:pPr>
        <w:ind w:left="4254" w:hanging="360"/>
      </w:pPr>
    </w:lvl>
    <w:lvl w:ilvl="7" w:tplc="08090019" w:tentative="1">
      <w:start w:val="1"/>
      <w:numFmt w:val="lowerLetter"/>
      <w:lvlText w:val="%8."/>
      <w:lvlJc w:val="left"/>
      <w:pPr>
        <w:ind w:left="4974" w:hanging="360"/>
      </w:pPr>
    </w:lvl>
    <w:lvl w:ilvl="8" w:tplc="0809001B" w:tentative="1">
      <w:start w:val="1"/>
      <w:numFmt w:val="lowerRoman"/>
      <w:lvlText w:val="%9."/>
      <w:lvlJc w:val="right"/>
      <w:pPr>
        <w:ind w:left="5694" w:hanging="180"/>
      </w:pPr>
    </w:lvl>
  </w:abstractNum>
  <w:abstractNum w:abstractNumId="18">
    <w:nsid w:val="241B4ADA"/>
    <w:multiLevelType w:val="hybridMultilevel"/>
    <w:tmpl w:val="E70EB44E"/>
    <w:lvl w:ilvl="0" w:tplc="3316334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nsid w:val="26427837"/>
    <w:multiLevelType w:val="hybridMultilevel"/>
    <w:tmpl w:val="AB6847B4"/>
    <w:lvl w:ilvl="0" w:tplc="02C8EF70">
      <w:start w:val="1"/>
      <w:numFmt w:val="decimal"/>
      <w:lvlText w:val="2.2%1"/>
      <w:lvlJc w:val="left"/>
      <w:pPr>
        <w:ind w:left="567" w:hanging="360"/>
      </w:pPr>
      <w:rPr>
        <w:rFonts w:hint="default"/>
      </w:rPr>
    </w:lvl>
    <w:lvl w:ilvl="1" w:tplc="08090019" w:tentative="1">
      <w:start w:val="1"/>
      <w:numFmt w:val="lowerLetter"/>
      <w:lvlText w:val="%2."/>
      <w:lvlJc w:val="left"/>
      <w:pPr>
        <w:ind w:left="1145" w:hanging="360"/>
      </w:pPr>
    </w:lvl>
    <w:lvl w:ilvl="2" w:tplc="0809001B" w:tentative="1">
      <w:start w:val="1"/>
      <w:numFmt w:val="lowerRoman"/>
      <w:lvlText w:val="%3."/>
      <w:lvlJc w:val="right"/>
      <w:pPr>
        <w:ind w:left="1865" w:hanging="180"/>
      </w:pPr>
    </w:lvl>
    <w:lvl w:ilvl="3" w:tplc="0809000F" w:tentative="1">
      <w:start w:val="1"/>
      <w:numFmt w:val="decimal"/>
      <w:lvlText w:val="%4."/>
      <w:lvlJc w:val="left"/>
      <w:pPr>
        <w:ind w:left="2585" w:hanging="360"/>
      </w:pPr>
    </w:lvl>
    <w:lvl w:ilvl="4" w:tplc="08090019" w:tentative="1">
      <w:start w:val="1"/>
      <w:numFmt w:val="lowerLetter"/>
      <w:lvlText w:val="%5."/>
      <w:lvlJc w:val="left"/>
      <w:pPr>
        <w:ind w:left="3305" w:hanging="360"/>
      </w:pPr>
    </w:lvl>
    <w:lvl w:ilvl="5" w:tplc="0809001B" w:tentative="1">
      <w:start w:val="1"/>
      <w:numFmt w:val="lowerRoman"/>
      <w:lvlText w:val="%6."/>
      <w:lvlJc w:val="right"/>
      <w:pPr>
        <w:ind w:left="4025" w:hanging="180"/>
      </w:pPr>
    </w:lvl>
    <w:lvl w:ilvl="6" w:tplc="0809000F" w:tentative="1">
      <w:start w:val="1"/>
      <w:numFmt w:val="decimal"/>
      <w:lvlText w:val="%7."/>
      <w:lvlJc w:val="left"/>
      <w:pPr>
        <w:ind w:left="4745" w:hanging="360"/>
      </w:pPr>
    </w:lvl>
    <w:lvl w:ilvl="7" w:tplc="08090019" w:tentative="1">
      <w:start w:val="1"/>
      <w:numFmt w:val="lowerLetter"/>
      <w:lvlText w:val="%8."/>
      <w:lvlJc w:val="left"/>
      <w:pPr>
        <w:ind w:left="5465" w:hanging="360"/>
      </w:pPr>
    </w:lvl>
    <w:lvl w:ilvl="8" w:tplc="0809001B" w:tentative="1">
      <w:start w:val="1"/>
      <w:numFmt w:val="lowerRoman"/>
      <w:lvlText w:val="%9."/>
      <w:lvlJc w:val="right"/>
      <w:pPr>
        <w:ind w:left="6185" w:hanging="180"/>
      </w:pPr>
    </w:lvl>
  </w:abstractNum>
  <w:abstractNum w:abstractNumId="20">
    <w:nsid w:val="28D64C9B"/>
    <w:multiLevelType w:val="multilevel"/>
    <w:tmpl w:val="A920C562"/>
    <w:lvl w:ilvl="0">
      <w:start w:val="2"/>
      <w:numFmt w:val="decimal"/>
      <w:lvlText w:val="%1.0"/>
      <w:lvlJc w:val="left"/>
      <w:pPr>
        <w:ind w:left="405" w:hanging="405"/>
      </w:pPr>
      <w:rPr>
        <w:rFonts w:hint="default"/>
        <w:b/>
      </w:rPr>
    </w:lvl>
    <w:lvl w:ilvl="1">
      <w:start w:val="9"/>
      <w:numFmt w:val="decimal"/>
      <w:lvlText w:val="2.%2"/>
      <w:lvlJc w:val="left"/>
      <w:pPr>
        <w:ind w:left="624" w:hanging="198"/>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1">
    <w:nsid w:val="29013352"/>
    <w:multiLevelType w:val="hybridMultilevel"/>
    <w:tmpl w:val="A000D15E"/>
    <w:lvl w:ilvl="0" w:tplc="478403EA">
      <w:start w:val="7"/>
      <w:numFmt w:val="decimal"/>
      <w:lvlText w:val="2.6%1"/>
      <w:lvlJc w:val="center"/>
      <w:pPr>
        <w:ind w:left="86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2C224101"/>
    <w:multiLevelType w:val="multilevel"/>
    <w:tmpl w:val="F0E2AA14"/>
    <w:lvl w:ilvl="0">
      <w:start w:val="5"/>
      <w:numFmt w:val="decimal"/>
      <w:lvlText w:val="%1"/>
      <w:lvlJc w:val="left"/>
      <w:pPr>
        <w:ind w:left="360" w:hanging="360"/>
      </w:pPr>
      <w:rPr>
        <w:rFonts w:hint="default"/>
      </w:rPr>
    </w:lvl>
    <w:lvl w:ilvl="1">
      <w:start w:val="1"/>
      <w:numFmt w:val="decimal"/>
      <w:lvlText w:val="5.%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nsid w:val="2FA047AD"/>
    <w:multiLevelType w:val="multilevel"/>
    <w:tmpl w:val="237A619E"/>
    <w:lvl w:ilvl="0">
      <w:start w:val="2"/>
      <w:numFmt w:val="decimal"/>
      <w:lvlText w:val="%1.2"/>
      <w:lvlJc w:val="left"/>
      <w:pPr>
        <w:ind w:left="786" w:hanging="360"/>
      </w:pPr>
      <w:rPr>
        <w:rFonts w:hint="default"/>
      </w:rPr>
    </w:lvl>
    <w:lvl w:ilvl="1">
      <w:start w:val="1"/>
      <w:numFmt w:val="none"/>
      <w:lvlText w:val="2.1"/>
      <w:lvlJc w:val="left"/>
      <w:pPr>
        <w:ind w:left="360" w:hanging="360"/>
      </w:pPr>
      <w:rPr>
        <w:rFonts w:hint="default"/>
      </w:rPr>
    </w:lvl>
    <w:lvl w:ilvl="2">
      <w:start w:val="2"/>
      <w:numFmt w:val="decimal"/>
      <w:lvlText w:val="%3.0"/>
      <w:lvlJc w:val="left"/>
      <w:pPr>
        <w:ind w:left="862"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nsid w:val="304504C6"/>
    <w:multiLevelType w:val="hybridMultilevel"/>
    <w:tmpl w:val="99EA3438"/>
    <w:lvl w:ilvl="0" w:tplc="94BEA228">
      <w:start w:val="5"/>
      <w:numFmt w:val="decimal"/>
      <w:lvlText w:val="2.5%1"/>
      <w:lvlJc w:val="center"/>
      <w:pPr>
        <w:ind w:left="86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30782A74"/>
    <w:multiLevelType w:val="multilevel"/>
    <w:tmpl w:val="DA52FC5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nsid w:val="36D66CCE"/>
    <w:multiLevelType w:val="hybridMultilevel"/>
    <w:tmpl w:val="CB946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3893164E"/>
    <w:multiLevelType w:val="multilevel"/>
    <w:tmpl w:val="F7D44478"/>
    <w:lvl w:ilvl="0">
      <w:start w:val="2"/>
      <w:numFmt w:val="decimal"/>
      <w:lvlText w:val="%1.0"/>
      <w:lvlJc w:val="left"/>
      <w:pPr>
        <w:ind w:left="405" w:hanging="405"/>
      </w:pPr>
      <w:rPr>
        <w:rFonts w:hint="default"/>
        <w:b/>
      </w:rPr>
    </w:lvl>
    <w:lvl w:ilvl="1">
      <w:numFmt w:val="decimal"/>
      <w:lvlText w:val="2.4%2"/>
      <w:lvlJc w:val="center"/>
      <w:pPr>
        <w:ind w:left="547" w:hanging="405"/>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8">
    <w:nsid w:val="39510B18"/>
    <w:multiLevelType w:val="hybridMultilevel"/>
    <w:tmpl w:val="7F288AF2"/>
    <w:lvl w:ilvl="0" w:tplc="AE28B822">
      <w:start w:val="1"/>
      <w:numFmt w:val="decimal"/>
      <w:lvlText w:val="2.3%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3B6314AE"/>
    <w:multiLevelType w:val="multilevel"/>
    <w:tmpl w:val="C35AD69C"/>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nsid w:val="3B851BA3"/>
    <w:multiLevelType w:val="hybridMultilevel"/>
    <w:tmpl w:val="5F1AF014"/>
    <w:lvl w:ilvl="0" w:tplc="D69CB26C">
      <w:start w:val="5"/>
      <w:numFmt w:val="decimal"/>
      <w:lvlText w:val="2.5%1"/>
      <w:lvlJc w:val="center"/>
      <w:pPr>
        <w:ind w:left="86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3D3D7F93"/>
    <w:multiLevelType w:val="multilevel"/>
    <w:tmpl w:val="7624D00C"/>
    <w:lvl w:ilvl="0">
      <w:start w:val="2"/>
      <w:numFmt w:val="decimal"/>
      <w:lvlText w:val="%1.0"/>
      <w:lvlJc w:val="left"/>
      <w:pPr>
        <w:ind w:left="405" w:hanging="405"/>
      </w:pPr>
      <w:rPr>
        <w:rFonts w:hint="default"/>
        <w:b/>
      </w:rPr>
    </w:lvl>
    <w:lvl w:ilvl="1">
      <w:start w:val="6"/>
      <w:numFmt w:val="decimal"/>
      <w:lvlText w:val="2.2%2"/>
      <w:lvlJc w:val="left"/>
      <w:pPr>
        <w:ind w:left="547" w:hanging="405"/>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2">
    <w:nsid w:val="3D801F89"/>
    <w:multiLevelType w:val="hybridMultilevel"/>
    <w:tmpl w:val="877AF2EA"/>
    <w:lvl w:ilvl="0" w:tplc="4210B620">
      <w:start w:val="1"/>
      <w:numFmt w:val="decimal"/>
      <w:lvlText w:val="2.50%1"/>
      <w:lvlJc w:val="center"/>
      <w:pPr>
        <w:ind w:left="1642" w:hanging="360"/>
      </w:pPr>
      <w:rPr>
        <w:rFonts w:hint="default"/>
      </w:rPr>
    </w:lvl>
    <w:lvl w:ilvl="1" w:tplc="08090019">
      <w:start w:val="1"/>
      <w:numFmt w:val="lowerLetter"/>
      <w:lvlText w:val="%2."/>
      <w:lvlJc w:val="left"/>
      <w:pPr>
        <w:ind w:left="2362" w:hanging="360"/>
      </w:pPr>
    </w:lvl>
    <w:lvl w:ilvl="2" w:tplc="0809001B" w:tentative="1">
      <w:start w:val="1"/>
      <w:numFmt w:val="lowerRoman"/>
      <w:lvlText w:val="%3."/>
      <w:lvlJc w:val="right"/>
      <w:pPr>
        <w:ind w:left="3082" w:hanging="180"/>
      </w:pPr>
    </w:lvl>
    <w:lvl w:ilvl="3" w:tplc="0809000F" w:tentative="1">
      <w:start w:val="1"/>
      <w:numFmt w:val="decimal"/>
      <w:lvlText w:val="%4."/>
      <w:lvlJc w:val="left"/>
      <w:pPr>
        <w:ind w:left="3802" w:hanging="360"/>
      </w:pPr>
    </w:lvl>
    <w:lvl w:ilvl="4" w:tplc="08090019" w:tentative="1">
      <w:start w:val="1"/>
      <w:numFmt w:val="lowerLetter"/>
      <w:lvlText w:val="%5."/>
      <w:lvlJc w:val="left"/>
      <w:pPr>
        <w:ind w:left="4522" w:hanging="360"/>
      </w:pPr>
    </w:lvl>
    <w:lvl w:ilvl="5" w:tplc="0809001B" w:tentative="1">
      <w:start w:val="1"/>
      <w:numFmt w:val="lowerRoman"/>
      <w:lvlText w:val="%6."/>
      <w:lvlJc w:val="right"/>
      <w:pPr>
        <w:ind w:left="5242" w:hanging="180"/>
      </w:pPr>
    </w:lvl>
    <w:lvl w:ilvl="6" w:tplc="0809000F" w:tentative="1">
      <w:start w:val="1"/>
      <w:numFmt w:val="decimal"/>
      <w:lvlText w:val="%7."/>
      <w:lvlJc w:val="left"/>
      <w:pPr>
        <w:ind w:left="5962" w:hanging="360"/>
      </w:pPr>
    </w:lvl>
    <w:lvl w:ilvl="7" w:tplc="08090019" w:tentative="1">
      <w:start w:val="1"/>
      <w:numFmt w:val="lowerLetter"/>
      <w:lvlText w:val="%8."/>
      <w:lvlJc w:val="left"/>
      <w:pPr>
        <w:ind w:left="6682" w:hanging="360"/>
      </w:pPr>
    </w:lvl>
    <w:lvl w:ilvl="8" w:tplc="0809001B" w:tentative="1">
      <w:start w:val="1"/>
      <w:numFmt w:val="lowerRoman"/>
      <w:lvlText w:val="%9."/>
      <w:lvlJc w:val="right"/>
      <w:pPr>
        <w:ind w:left="7402" w:hanging="180"/>
      </w:pPr>
    </w:lvl>
  </w:abstractNum>
  <w:abstractNum w:abstractNumId="33">
    <w:nsid w:val="3F55672E"/>
    <w:multiLevelType w:val="hybridMultilevel"/>
    <w:tmpl w:val="363277B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Times New Roman"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Times New Roman"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Times New Roman" w:hint="default"/>
      </w:rPr>
    </w:lvl>
    <w:lvl w:ilvl="8" w:tplc="08090005">
      <w:start w:val="1"/>
      <w:numFmt w:val="bullet"/>
      <w:lvlText w:val=""/>
      <w:lvlJc w:val="left"/>
      <w:pPr>
        <w:ind w:left="7200" w:hanging="360"/>
      </w:pPr>
      <w:rPr>
        <w:rFonts w:ascii="Wingdings" w:hAnsi="Wingdings" w:hint="default"/>
      </w:rPr>
    </w:lvl>
  </w:abstractNum>
  <w:abstractNum w:abstractNumId="34">
    <w:nsid w:val="400C4B30"/>
    <w:multiLevelType w:val="multilevel"/>
    <w:tmpl w:val="FE5478F0"/>
    <w:lvl w:ilvl="0">
      <w:start w:val="2"/>
      <w:numFmt w:val="decimal"/>
      <w:lvlText w:val="%1.0"/>
      <w:lvlJc w:val="left"/>
      <w:pPr>
        <w:ind w:left="405" w:hanging="405"/>
      </w:pPr>
      <w:rPr>
        <w:rFonts w:hint="default"/>
        <w:b/>
      </w:rPr>
    </w:lvl>
    <w:lvl w:ilvl="1">
      <w:start w:val="9"/>
      <w:numFmt w:val="decimal"/>
      <w:lvlText w:val="2.3%2"/>
      <w:lvlJc w:val="left"/>
      <w:pPr>
        <w:ind w:left="547" w:hanging="405"/>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5">
    <w:nsid w:val="403E4F15"/>
    <w:multiLevelType w:val="multilevel"/>
    <w:tmpl w:val="189C8E58"/>
    <w:lvl w:ilvl="0">
      <w:start w:val="2"/>
      <w:numFmt w:val="decimal"/>
      <w:lvlText w:val="%1"/>
      <w:lvlJc w:val="left"/>
      <w:pPr>
        <w:ind w:left="465" w:hanging="465"/>
      </w:pPr>
      <w:rPr>
        <w:rFonts w:hint="default"/>
      </w:rPr>
    </w:lvl>
    <w:lvl w:ilvl="1">
      <w:start w:val="40"/>
      <w:numFmt w:val="decimal"/>
      <w:lvlText w:val="%1.%2"/>
      <w:lvlJc w:val="left"/>
      <w:pPr>
        <w:ind w:left="607" w:hanging="46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36">
    <w:nsid w:val="42672DCA"/>
    <w:multiLevelType w:val="hybridMultilevel"/>
    <w:tmpl w:val="8DC43DBA"/>
    <w:lvl w:ilvl="0" w:tplc="3FAE4F3E">
      <w:start w:val="1"/>
      <w:numFmt w:val="decimal"/>
      <w:lvlText w:val="2.2%1"/>
      <w:lvlJc w:val="left"/>
      <w:pPr>
        <w:ind w:left="86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42852B72"/>
    <w:multiLevelType w:val="multilevel"/>
    <w:tmpl w:val="0F56B14E"/>
    <w:lvl w:ilvl="0">
      <w:start w:val="5"/>
      <w:numFmt w:val="decimal"/>
      <w:lvlText w:val="%1"/>
      <w:lvlJc w:val="left"/>
      <w:pPr>
        <w:ind w:left="360" w:hanging="360"/>
      </w:pPr>
      <w:rPr>
        <w:rFonts w:hint="default"/>
      </w:rPr>
    </w:lvl>
    <w:lvl w:ilvl="1">
      <w:start w:val="5"/>
      <w:numFmt w:val="decimal"/>
      <w:lvlText w:val="5.%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8">
    <w:nsid w:val="42F97D88"/>
    <w:multiLevelType w:val="hybridMultilevel"/>
    <w:tmpl w:val="0FF441CE"/>
    <w:lvl w:ilvl="0" w:tplc="286C2A9C">
      <w:start w:val="1"/>
      <w:numFmt w:val="decimal"/>
      <w:lvlText w:val="2.3%1"/>
      <w:lvlJc w:val="left"/>
      <w:pPr>
        <w:ind w:left="1642" w:hanging="360"/>
      </w:pPr>
      <w:rPr>
        <w:rFonts w:hint="default"/>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39">
    <w:nsid w:val="43BC4B05"/>
    <w:multiLevelType w:val="hybridMultilevel"/>
    <w:tmpl w:val="B5BA198C"/>
    <w:lvl w:ilvl="0" w:tplc="A60A5F5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0">
    <w:nsid w:val="44EF3C60"/>
    <w:multiLevelType w:val="multilevel"/>
    <w:tmpl w:val="CC8E1476"/>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1">
    <w:nsid w:val="45CE20FB"/>
    <w:multiLevelType w:val="hybridMultilevel"/>
    <w:tmpl w:val="215E81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46FF72EC"/>
    <w:multiLevelType w:val="multilevel"/>
    <w:tmpl w:val="0BDA139E"/>
    <w:lvl w:ilvl="0">
      <w:start w:val="1"/>
      <w:numFmt w:val="none"/>
      <w:lvlText w:val="1.1"/>
      <w:lvlJc w:val="left"/>
      <w:pPr>
        <w:ind w:left="360" w:hanging="360"/>
      </w:pPr>
      <w:rPr>
        <w:rFonts w:hint="default"/>
      </w:rPr>
    </w:lvl>
    <w:lvl w:ilvl="1">
      <w:start w:val="1"/>
      <w:numFmt w:val="none"/>
      <w:lvlText w:val="2.1"/>
      <w:lvlJc w:val="left"/>
      <w:pPr>
        <w:ind w:left="360" w:hanging="360"/>
      </w:pPr>
      <w:rPr>
        <w:rFonts w:hint="default"/>
      </w:rPr>
    </w:lvl>
    <w:lvl w:ilvl="2">
      <w:start w:val="1"/>
      <w:numFmt w:val="none"/>
      <w:lvlText w:val="1.2"/>
      <w:lvlJc w:val="left"/>
      <w:pPr>
        <w:ind w:left="1146"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3">
    <w:nsid w:val="47611ED2"/>
    <w:multiLevelType w:val="hybridMultilevel"/>
    <w:tmpl w:val="4FDC35D8"/>
    <w:lvl w:ilvl="0" w:tplc="0AA0E638">
      <w:start w:val="6"/>
      <w:numFmt w:val="decimal"/>
      <w:lvlText w:val="2.6%1"/>
      <w:lvlJc w:val="center"/>
      <w:pPr>
        <w:ind w:left="86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nsid w:val="48E24EDE"/>
    <w:multiLevelType w:val="hybridMultilevel"/>
    <w:tmpl w:val="C3D2DF90"/>
    <w:lvl w:ilvl="0" w:tplc="AE28B822">
      <w:start w:val="1"/>
      <w:numFmt w:val="decimal"/>
      <w:lvlText w:val="2.3%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nsid w:val="4B6E6DA2"/>
    <w:multiLevelType w:val="multilevel"/>
    <w:tmpl w:val="E9C864A4"/>
    <w:lvl w:ilvl="0">
      <w:start w:val="2"/>
      <w:numFmt w:val="decimal"/>
      <w:lvlText w:val="%1.5"/>
      <w:lvlJc w:val="left"/>
      <w:pPr>
        <w:ind w:left="405" w:hanging="405"/>
      </w:pPr>
      <w:rPr>
        <w:rFonts w:hint="default"/>
        <w:b/>
      </w:rPr>
    </w:lvl>
    <w:lvl w:ilvl="1">
      <w:numFmt w:val="none"/>
      <w:lvlText w:val="2.44"/>
      <w:lvlJc w:val="left"/>
      <w:pPr>
        <w:ind w:left="547" w:hanging="405"/>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6">
    <w:nsid w:val="4D211D30"/>
    <w:multiLevelType w:val="hybridMultilevel"/>
    <w:tmpl w:val="C10095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4D835A32"/>
    <w:multiLevelType w:val="multilevel"/>
    <w:tmpl w:val="A60213CC"/>
    <w:lvl w:ilvl="0">
      <w:start w:val="4"/>
      <w:numFmt w:val="decimal"/>
      <w:lvlText w:val="%1"/>
      <w:lvlJc w:val="left"/>
      <w:pPr>
        <w:ind w:left="360" w:hanging="360"/>
      </w:pPr>
      <w:rPr>
        <w:rFonts w:hint="default"/>
      </w:rPr>
    </w:lvl>
    <w:lvl w:ilvl="1">
      <w:start w:val="2"/>
      <w:numFmt w:val="decimal"/>
      <w:lvlText w:val="7.%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8">
    <w:nsid w:val="4E4A2BD6"/>
    <w:multiLevelType w:val="hybridMultilevel"/>
    <w:tmpl w:val="079C27B4"/>
    <w:lvl w:ilvl="0" w:tplc="8DDA6C44">
      <w:start w:val="6"/>
      <w:numFmt w:val="decimal"/>
      <w:lvlText w:val="2.5%1"/>
      <w:lvlJc w:val="center"/>
      <w:pPr>
        <w:ind w:left="86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nsid w:val="4E91606C"/>
    <w:multiLevelType w:val="hybridMultilevel"/>
    <w:tmpl w:val="1C4869B0"/>
    <w:lvl w:ilvl="0" w:tplc="6AD6146E">
      <w:start w:val="1"/>
      <w:numFmt w:val="decimal"/>
      <w:lvlText w:val="2.6%1"/>
      <w:lvlJc w:val="center"/>
      <w:pPr>
        <w:ind w:left="86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nsid w:val="4F0E16BD"/>
    <w:multiLevelType w:val="hybridMultilevel"/>
    <w:tmpl w:val="234C71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nsid w:val="4FF3600D"/>
    <w:multiLevelType w:val="hybridMultilevel"/>
    <w:tmpl w:val="A0D0B1E0"/>
    <w:lvl w:ilvl="0" w:tplc="53D2F13E">
      <w:start w:val="4"/>
      <w:numFmt w:val="decimal"/>
      <w:lvlText w:val="%1."/>
      <w:lvlJc w:val="left"/>
      <w:pPr>
        <w:ind w:left="1125" w:hanging="360"/>
      </w:pPr>
      <w:rPr>
        <w:rFonts w:hint="default"/>
      </w:rPr>
    </w:lvl>
    <w:lvl w:ilvl="1" w:tplc="08090019" w:tentative="1">
      <w:start w:val="1"/>
      <w:numFmt w:val="lowerLetter"/>
      <w:lvlText w:val="%2."/>
      <w:lvlJc w:val="left"/>
      <w:pPr>
        <w:ind w:left="1845" w:hanging="360"/>
      </w:pPr>
    </w:lvl>
    <w:lvl w:ilvl="2" w:tplc="0809001B" w:tentative="1">
      <w:start w:val="1"/>
      <w:numFmt w:val="lowerRoman"/>
      <w:lvlText w:val="%3."/>
      <w:lvlJc w:val="right"/>
      <w:pPr>
        <w:ind w:left="2565" w:hanging="180"/>
      </w:pPr>
    </w:lvl>
    <w:lvl w:ilvl="3" w:tplc="0809000F" w:tentative="1">
      <w:start w:val="1"/>
      <w:numFmt w:val="decimal"/>
      <w:lvlText w:val="%4."/>
      <w:lvlJc w:val="left"/>
      <w:pPr>
        <w:ind w:left="3285" w:hanging="360"/>
      </w:pPr>
    </w:lvl>
    <w:lvl w:ilvl="4" w:tplc="08090019" w:tentative="1">
      <w:start w:val="1"/>
      <w:numFmt w:val="lowerLetter"/>
      <w:lvlText w:val="%5."/>
      <w:lvlJc w:val="left"/>
      <w:pPr>
        <w:ind w:left="4005" w:hanging="360"/>
      </w:pPr>
    </w:lvl>
    <w:lvl w:ilvl="5" w:tplc="0809001B" w:tentative="1">
      <w:start w:val="1"/>
      <w:numFmt w:val="lowerRoman"/>
      <w:lvlText w:val="%6."/>
      <w:lvlJc w:val="right"/>
      <w:pPr>
        <w:ind w:left="4725" w:hanging="180"/>
      </w:pPr>
    </w:lvl>
    <w:lvl w:ilvl="6" w:tplc="0809000F" w:tentative="1">
      <w:start w:val="1"/>
      <w:numFmt w:val="decimal"/>
      <w:lvlText w:val="%7."/>
      <w:lvlJc w:val="left"/>
      <w:pPr>
        <w:ind w:left="5445" w:hanging="360"/>
      </w:pPr>
    </w:lvl>
    <w:lvl w:ilvl="7" w:tplc="08090019" w:tentative="1">
      <w:start w:val="1"/>
      <w:numFmt w:val="lowerLetter"/>
      <w:lvlText w:val="%8."/>
      <w:lvlJc w:val="left"/>
      <w:pPr>
        <w:ind w:left="6165" w:hanging="360"/>
      </w:pPr>
    </w:lvl>
    <w:lvl w:ilvl="8" w:tplc="0809001B" w:tentative="1">
      <w:start w:val="1"/>
      <w:numFmt w:val="lowerRoman"/>
      <w:lvlText w:val="%9."/>
      <w:lvlJc w:val="right"/>
      <w:pPr>
        <w:ind w:left="6885" w:hanging="180"/>
      </w:pPr>
    </w:lvl>
  </w:abstractNum>
  <w:abstractNum w:abstractNumId="52">
    <w:nsid w:val="511562E8"/>
    <w:multiLevelType w:val="hybridMultilevel"/>
    <w:tmpl w:val="5A3286FE"/>
    <w:lvl w:ilvl="0" w:tplc="76A88B16">
      <w:start w:val="1"/>
      <w:numFmt w:val="decimal"/>
      <w:lvlText w:val="4.%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nsid w:val="530F201D"/>
    <w:multiLevelType w:val="multilevel"/>
    <w:tmpl w:val="84589CD8"/>
    <w:lvl w:ilvl="0">
      <w:start w:val="2"/>
      <w:numFmt w:val="decimal"/>
      <w:lvlText w:val="%1"/>
      <w:lvlJc w:val="left"/>
      <w:pPr>
        <w:ind w:left="465" w:hanging="465"/>
      </w:pPr>
      <w:rPr>
        <w:rFonts w:hint="default"/>
      </w:rPr>
    </w:lvl>
    <w:lvl w:ilvl="1">
      <w:start w:val="4"/>
      <w:numFmt w:val="decimal"/>
      <w:lvlText w:val="2.5%2"/>
      <w:lvlJc w:val="center"/>
      <w:pPr>
        <w:ind w:left="607" w:hanging="465"/>
      </w:pPr>
      <w:rPr>
        <w:rFonts w:hint="default"/>
        <w:b w:val="0"/>
      </w:rPr>
    </w:lvl>
    <w:lvl w:ilvl="2">
      <w:start w:val="1"/>
      <w:numFmt w:val="decimal"/>
      <w:lvlText w:val="%1.%2.%3"/>
      <w:lvlJc w:val="left"/>
      <w:pPr>
        <w:ind w:left="2098" w:hanging="720"/>
      </w:pPr>
      <w:rPr>
        <w:rFonts w:hint="default"/>
      </w:rPr>
    </w:lvl>
    <w:lvl w:ilvl="3">
      <w:start w:val="1"/>
      <w:numFmt w:val="decimal"/>
      <w:lvlText w:val="%1.%2.%3.%4"/>
      <w:lvlJc w:val="left"/>
      <w:pPr>
        <w:ind w:left="3147" w:hanging="1080"/>
      </w:pPr>
      <w:rPr>
        <w:rFonts w:hint="default"/>
      </w:rPr>
    </w:lvl>
    <w:lvl w:ilvl="4">
      <w:start w:val="1"/>
      <w:numFmt w:val="decimal"/>
      <w:lvlText w:val="%1.%2.%3.%4.%5"/>
      <w:lvlJc w:val="left"/>
      <w:pPr>
        <w:ind w:left="3836" w:hanging="1080"/>
      </w:pPr>
      <w:rPr>
        <w:rFonts w:hint="default"/>
      </w:rPr>
    </w:lvl>
    <w:lvl w:ilvl="5">
      <w:start w:val="1"/>
      <w:numFmt w:val="decimal"/>
      <w:lvlText w:val="%1.%2.%3.%4.%5.%6"/>
      <w:lvlJc w:val="left"/>
      <w:pPr>
        <w:ind w:left="4885" w:hanging="1440"/>
      </w:pPr>
      <w:rPr>
        <w:rFonts w:hint="default"/>
      </w:rPr>
    </w:lvl>
    <w:lvl w:ilvl="6">
      <w:start w:val="1"/>
      <w:numFmt w:val="decimal"/>
      <w:lvlText w:val="%1.%2.%3.%4.%5.%6.%7"/>
      <w:lvlJc w:val="left"/>
      <w:pPr>
        <w:ind w:left="5574" w:hanging="1440"/>
      </w:pPr>
      <w:rPr>
        <w:rFonts w:hint="default"/>
      </w:rPr>
    </w:lvl>
    <w:lvl w:ilvl="7">
      <w:start w:val="1"/>
      <w:numFmt w:val="decimal"/>
      <w:lvlText w:val="%1.%2.%3.%4.%5.%6.%7.%8"/>
      <w:lvlJc w:val="left"/>
      <w:pPr>
        <w:ind w:left="6623" w:hanging="1800"/>
      </w:pPr>
      <w:rPr>
        <w:rFonts w:hint="default"/>
      </w:rPr>
    </w:lvl>
    <w:lvl w:ilvl="8">
      <w:start w:val="1"/>
      <w:numFmt w:val="decimal"/>
      <w:lvlText w:val="%1.%2.%3.%4.%5.%6.%7.%8.%9"/>
      <w:lvlJc w:val="left"/>
      <w:pPr>
        <w:ind w:left="7312" w:hanging="1800"/>
      </w:pPr>
      <w:rPr>
        <w:rFonts w:hint="default"/>
      </w:rPr>
    </w:lvl>
  </w:abstractNum>
  <w:abstractNum w:abstractNumId="54">
    <w:nsid w:val="546F6DD2"/>
    <w:multiLevelType w:val="hybridMultilevel"/>
    <w:tmpl w:val="22FA27E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55">
    <w:nsid w:val="5C2075A7"/>
    <w:multiLevelType w:val="multilevel"/>
    <w:tmpl w:val="0296748A"/>
    <w:lvl w:ilvl="0">
      <w:start w:val="1"/>
      <w:numFmt w:val="decimal"/>
      <w:lvlText w:val="%1"/>
      <w:lvlJc w:val="left"/>
      <w:pPr>
        <w:ind w:left="360" w:hanging="360"/>
      </w:pPr>
      <w:rPr>
        <w:rFonts w:hint="default"/>
      </w:rPr>
    </w:lvl>
    <w:lvl w:ilvl="1">
      <w:start w:val="1"/>
      <w:numFmt w:val="none"/>
      <w:lvlText w:val="2.1"/>
      <w:lvlJc w:val="left"/>
      <w:pPr>
        <w:ind w:left="360" w:hanging="360"/>
      </w:pPr>
      <w:rPr>
        <w:rFonts w:hint="default"/>
      </w:rPr>
    </w:lvl>
    <w:lvl w:ilvl="2">
      <w:start w:val="1"/>
      <w:numFmt w:val="none"/>
      <w:lvlText w:val="1.2"/>
      <w:lvlJc w:val="left"/>
      <w:pPr>
        <w:ind w:left="862"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6">
    <w:nsid w:val="5DF41E0B"/>
    <w:multiLevelType w:val="hybridMultilevel"/>
    <w:tmpl w:val="5B5E82C2"/>
    <w:lvl w:ilvl="0" w:tplc="7F380B2E">
      <w:start w:val="5"/>
      <w:numFmt w:val="decimal"/>
      <w:lvlText w:val="%1."/>
      <w:lvlJc w:val="left"/>
      <w:pPr>
        <w:ind w:left="1288" w:hanging="360"/>
      </w:pPr>
      <w:rPr>
        <w:rFonts w:hint="default"/>
      </w:rPr>
    </w:lvl>
    <w:lvl w:ilvl="1" w:tplc="08090019" w:tentative="1">
      <w:start w:val="1"/>
      <w:numFmt w:val="lowerLetter"/>
      <w:lvlText w:val="%2."/>
      <w:lvlJc w:val="left"/>
      <w:pPr>
        <w:ind w:left="2008" w:hanging="360"/>
      </w:pPr>
    </w:lvl>
    <w:lvl w:ilvl="2" w:tplc="0809001B" w:tentative="1">
      <w:start w:val="1"/>
      <w:numFmt w:val="lowerRoman"/>
      <w:lvlText w:val="%3."/>
      <w:lvlJc w:val="right"/>
      <w:pPr>
        <w:ind w:left="2728" w:hanging="180"/>
      </w:pPr>
    </w:lvl>
    <w:lvl w:ilvl="3" w:tplc="0809000F" w:tentative="1">
      <w:start w:val="1"/>
      <w:numFmt w:val="decimal"/>
      <w:lvlText w:val="%4."/>
      <w:lvlJc w:val="left"/>
      <w:pPr>
        <w:ind w:left="3448" w:hanging="360"/>
      </w:pPr>
    </w:lvl>
    <w:lvl w:ilvl="4" w:tplc="08090019" w:tentative="1">
      <w:start w:val="1"/>
      <w:numFmt w:val="lowerLetter"/>
      <w:lvlText w:val="%5."/>
      <w:lvlJc w:val="left"/>
      <w:pPr>
        <w:ind w:left="4168" w:hanging="360"/>
      </w:pPr>
    </w:lvl>
    <w:lvl w:ilvl="5" w:tplc="0809001B" w:tentative="1">
      <w:start w:val="1"/>
      <w:numFmt w:val="lowerRoman"/>
      <w:lvlText w:val="%6."/>
      <w:lvlJc w:val="right"/>
      <w:pPr>
        <w:ind w:left="4888" w:hanging="180"/>
      </w:pPr>
    </w:lvl>
    <w:lvl w:ilvl="6" w:tplc="0809000F" w:tentative="1">
      <w:start w:val="1"/>
      <w:numFmt w:val="decimal"/>
      <w:lvlText w:val="%7."/>
      <w:lvlJc w:val="left"/>
      <w:pPr>
        <w:ind w:left="5608" w:hanging="360"/>
      </w:pPr>
    </w:lvl>
    <w:lvl w:ilvl="7" w:tplc="08090019" w:tentative="1">
      <w:start w:val="1"/>
      <w:numFmt w:val="lowerLetter"/>
      <w:lvlText w:val="%8."/>
      <w:lvlJc w:val="left"/>
      <w:pPr>
        <w:ind w:left="6328" w:hanging="360"/>
      </w:pPr>
    </w:lvl>
    <w:lvl w:ilvl="8" w:tplc="0809001B" w:tentative="1">
      <w:start w:val="1"/>
      <w:numFmt w:val="lowerRoman"/>
      <w:lvlText w:val="%9."/>
      <w:lvlJc w:val="right"/>
      <w:pPr>
        <w:ind w:left="7048" w:hanging="180"/>
      </w:pPr>
    </w:lvl>
  </w:abstractNum>
  <w:abstractNum w:abstractNumId="57">
    <w:nsid w:val="60585A39"/>
    <w:multiLevelType w:val="hybridMultilevel"/>
    <w:tmpl w:val="1CD68532"/>
    <w:lvl w:ilvl="0" w:tplc="5EDEDBFA">
      <w:start w:val="8"/>
      <w:numFmt w:val="decimal"/>
      <w:lvlText w:val="2.5%1"/>
      <w:lvlJc w:val="center"/>
      <w:pPr>
        <w:ind w:left="86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nsid w:val="60AE3295"/>
    <w:multiLevelType w:val="multilevel"/>
    <w:tmpl w:val="A462D400"/>
    <w:lvl w:ilvl="0">
      <w:start w:val="2"/>
      <w:numFmt w:val="decimal"/>
      <w:lvlText w:val="%1"/>
      <w:lvlJc w:val="left"/>
      <w:pPr>
        <w:ind w:left="465" w:hanging="465"/>
      </w:pPr>
      <w:rPr>
        <w:rFonts w:hint="default"/>
      </w:rPr>
    </w:lvl>
    <w:lvl w:ilvl="1">
      <w:start w:val="2"/>
      <w:numFmt w:val="decimal"/>
      <w:lvlText w:val="2.5%2"/>
      <w:lvlJc w:val="center"/>
      <w:pPr>
        <w:ind w:left="1154" w:hanging="465"/>
      </w:pPr>
      <w:rPr>
        <w:rFonts w:hint="default"/>
      </w:rPr>
    </w:lvl>
    <w:lvl w:ilvl="2">
      <w:start w:val="1"/>
      <w:numFmt w:val="decimal"/>
      <w:lvlText w:val="%1.%2.%3"/>
      <w:lvlJc w:val="left"/>
      <w:pPr>
        <w:ind w:left="2098" w:hanging="720"/>
      </w:pPr>
      <w:rPr>
        <w:rFonts w:hint="default"/>
      </w:rPr>
    </w:lvl>
    <w:lvl w:ilvl="3">
      <w:start w:val="1"/>
      <w:numFmt w:val="decimal"/>
      <w:lvlText w:val="%1.%2.%3.%4"/>
      <w:lvlJc w:val="left"/>
      <w:pPr>
        <w:ind w:left="3147" w:hanging="1080"/>
      </w:pPr>
      <w:rPr>
        <w:rFonts w:hint="default"/>
      </w:rPr>
    </w:lvl>
    <w:lvl w:ilvl="4">
      <w:start w:val="1"/>
      <w:numFmt w:val="decimal"/>
      <w:lvlText w:val="%1.%2.%3.%4.%5"/>
      <w:lvlJc w:val="left"/>
      <w:pPr>
        <w:ind w:left="3836" w:hanging="1080"/>
      </w:pPr>
      <w:rPr>
        <w:rFonts w:hint="default"/>
      </w:rPr>
    </w:lvl>
    <w:lvl w:ilvl="5">
      <w:start w:val="1"/>
      <w:numFmt w:val="decimal"/>
      <w:lvlText w:val="%1.%2.%3.%4.%5.%6"/>
      <w:lvlJc w:val="left"/>
      <w:pPr>
        <w:ind w:left="4885" w:hanging="1440"/>
      </w:pPr>
      <w:rPr>
        <w:rFonts w:hint="default"/>
      </w:rPr>
    </w:lvl>
    <w:lvl w:ilvl="6">
      <w:start w:val="1"/>
      <w:numFmt w:val="decimal"/>
      <w:lvlText w:val="%1.%2.%3.%4.%5.%6.%7"/>
      <w:lvlJc w:val="left"/>
      <w:pPr>
        <w:ind w:left="5574" w:hanging="1440"/>
      </w:pPr>
      <w:rPr>
        <w:rFonts w:hint="default"/>
      </w:rPr>
    </w:lvl>
    <w:lvl w:ilvl="7">
      <w:start w:val="1"/>
      <w:numFmt w:val="decimal"/>
      <w:lvlText w:val="%1.%2.%3.%4.%5.%6.%7.%8"/>
      <w:lvlJc w:val="left"/>
      <w:pPr>
        <w:ind w:left="6623" w:hanging="1800"/>
      </w:pPr>
      <w:rPr>
        <w:rFonts w:hint="default"/>
      </w:rPr>
    </w:lvl>
    <w:lvl w:ilvl="8">
      <w:start w:val="1"/>
      <w:numFmt w:val="decimal"/>
      <w:lvlText w:val="%1.%2.%3.%4.%5.%6.%7.%8.%9"/>
      <w:lvlJc w:val="left"/>
      <w:pPr>
        <w:ind w:left="7312" w:hanging="1800"/>
      </w:pPr>
      <w:rPr>
        <w:rFonts w:hint="default"/>
      </w:rPr>
    </w:lvl>
  </w:abstractNum>
  <w:abstractNum w:abstractNumId="59">
    <w:nsid w:val="64042B8A"/>
    <w:multiLevelType w:val="hybridMultilevel"/>
    <w:tmpl w:val="50EA6F9C"/>
    <w:lvl w:ilvl="0" w:tplc="243A0AA4">
      <w:start w:val="1"/>
      <w:numFmt w:val="decimal"/>
      <w:lvlText w:val="6.%1"/>
      <w:lvlJc w:val="left"/>
      <w:pPr>
        <w:ind w:left="1429" w:hanging="360"/>
      </w:pPr>
      <w:rPr>
        <w:rFonts w:hint="default"/>
        <w:b w:val="0"/>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60">
    <w:nsid w:val="655C38B2"/>
    <w:multiLevelType w:val="multilevel"/>
    <w:tmpl w:val="7E0C393E"/>
    <w:lvl w:ilvl="0">
      <w:start w:val="2"/>
      <w:numFmt w:val="decimal"/>
      <w:lvlText w:val="%1.0"/>
      <w:lvlJc w:val="left"/>
      <w:pPr>
        <w:ind w:left="405" w:hanging="405"/>
      </w:pPr>
      <w:rPr>
        <w:rFonts w:hint="default"/>
        <w:b/>
      </w:rPr>
    </w:lvl>
    <w:lvl w:ilvl="1">
      <w:start w:val="3"/>
      <w:numFmt w:val="decimal"/>
      <w:lvlText w:val="2.3%2"/>
      <w:lvlJc w:val="center"/>
      <w:pPr>
        <w:ind w:left="547" w:hanging="405"/>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61">
    <w:nsid w:val="66DC4822"/>
    <w:multiLevelType w:val="multilevel"/>
    <w:tmpl w:val="19C039D0"/>
    <w:lvl w:ilvl="0">
      <w:start w:val="1"/>
      <w:numFmt w:val="decimal"/>
      <w:lvlText w:val="%1"/>
      <w:lvlJc w:val="left"/>
      <w:pPr>
        <w:ind w:left="360" w:hanging="360"/>
      </w:pPr>
      <w:rPr>
        <w:rFonts w:hint="default"/>
      </w:rPr>
    </w:lvl>
    <w:lvl w:ilvl="1">
      <w:start w:val="3"/>
      <w:numFmt w:val="decimal"/>
      <w:lvlText w:val="%1.%2"/>
      <w:lvlJc w:val="left"/>
      <w:pPr>
        <w:ind w:left="1806" w:hanging="360"/>
      </w:pPr>
      <w:rPr>
        <w:rFonts w:hint="default"/>
      </w:rPr>
    </w:lvl>
    <w:lvl w:ilvl="2">
      <w:start w:val="1"/>
      <w:numFmt w:val="decimal"/>
      <w:lvlText w:val="%1.%2.%3"/>
      <w:lvlJc w:val="left"/>
      <w:pPr>
        <w:ind w:left="3612" w:hanging="720"/>
      </w:pPr>
      <w:rPr>
        <w:rFonts w:hint="default"/>
      </w:rPr>
    </w:lvl>
    <w:lvl w:ilvl="3">
      <w:start w:val="1"/>
      <w:numFmt w:val="decimal"/>
      <w:lvlText w:val="%1.%2.%3.%4"/>
      <w:lvlJc w:val="left"/>
      <w:pPr>
        <w:ind w:left="5418" w:hanging="1080"/>
      </w:pPr>
      <w:rPr>
        <w:rFonts w:hint="default"/>
      </w:rPr>
    </w:lvl>
    <w:lvl w:ilvl="4">
      <w:start w:val="1"/>
      <w:numFmt w:val="decimal"/>
      <w:lvlText w:val="%1.%2.%3.%4.%5"/>
      <w:lvlJc w:val="left"/>
      <w:pPr>
        <w:ind w:left="6864" w:hanging="1080"/>
      </w:pPr>
      <w:rPr>
        <w:rFonts w:hint="default"/>
      </w:rPr>
    </w:lvl>
    <w:lvl w:ilvl="5">
      <w:start w:val="1"/>
      <w:numFmt w:val="decimal"/>
      <w:lvlText w:val="%1.%2.%3.%4.%5.%6"/>
      <w:lvlJc w:val="left"/>
      <w:pPr>
        <w:ind w:left="8670" w:hanging="1440"/>
      </w:pPr>
      <w:rPr>
        <w:rFonts w:hint="default"/>
      </w:rPr>
    </w:lvl>
    <w:lvl w:ilvl="6">
      <w:start w:val="1"/>
      <w:numFmt w:val="decimal"/>
      <w:lvlText w:val="%1.%2.%3.%4.%5.%6.%7"/>
      <w:lvlJc w:val="left"/>
      <w:pPr>
        <w:ind w:left="10116" w:hanging="1440"/>
      </w:pPr>
      <w:rPr>
        <w:rFonts w:hint="default"/>
      </w:rPr>
    </w:lvl>
    <w:lvl w:ilvl="7">
      <w:start w:val="1"/>
      <w:numFmt w:val="decimal"/>
      <w:lvlText w:val="%1.%2.%3.%4.%5.%6.%7.%8"/>
      <w:lvlJc w:val="left"/>
      <w:pPr>
        <w:ind w:left="11922" w:hanging="1800"/>
      </w:pPr>
      <w:rPr>
        <w:rFonts w:hint="default"/>
      </w:rPr>
    </w:lvl>
    <w:lvl w:ilvl="8">
      <w:start w:val="1"/>
      <w:numFmt w:val="decimal"/>
      <w:lvlText w:val="%1.%2.%3.%4.%5.%6.%7.%8.%9"/>
      <w:lvlJc w:val="left"/>
      <w:pPr>
        <w:ind w:left="13368" w:hanging="1800"/>
      </w:pPr>
      <w:rPr>
        <w:rFonts w:hint="default"/>
      </w:rPr>
    </w:lvl>
  </w:abstractNum>
  <w:abstractNum w:abstractNumId="62">
    <w:nsid w:val="66F62679"/>
    <w:multiLevelType w:val="multilevel"/>
    <w:tmpl w:val="F5601F4A"/>
    <w:lvl w:ilvl="0">
      <w:start w:val="2"/>
      <w:numFmt w:val="decimal"/>
      <w:lvlText w:val="%1.1"/>
      <w:lvlJc w:val="left"/>
      <w:pPr>
        <w:ind w:left="360" w:hanging="360"/>
      </w:pPr>
      <w:rPr>
        <w:rFonts w:hint="default"/>
      </w:rPr>
    </w:lvl>
    <w:lvl w:ilvl="1">
      <w:start w:val="1"/>
      <w:numFmt w:val="none"/>
      <w:lvlText w:val="2.1"/>
      <w:lvlJc w:val="left"/>
      <w:pPr>
        <w:ind w:left="360" w:hanging="360"/>
      </w:pPr>
      <w:rPr>
        <w:rFonts w:hint="default"/>
      </w:rPr>
    </w:lvl>
    <w:lvl w:ilvl="2">
      <w:start w:val="2"/>
      <w:numFmt w:val="decimal"/>
      <w:lvlText w:val="%3.0"/>
      <w:lvlJc w:val="left"/>
      <w:pPr>
        <w:ind w:left="862"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3">
    <w:nsid w:val="680C64CA"/>
    <w:multiLevelType w:val="hybridMultilevel"/>
    <w:tmpl w:val="F11A0DFA"/>
    <w:lvl w:ilvl="0" w:tplc="AE28B822">
      <w:start w:val="1"/>
      <w:numFmt w:val="decimal"/>
      <w:lvlText w:val="2.3%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4">
    <w:nsid w:val="69511311"/>
    <w:multiLevelType w:val="hybridMultilevel"/>
    <w:tmpl w:val="65C82F56"/>
    <w:lvl w:ilvl="0" w:tplc="AE28B822">
      <w:start w:val="1"/>
      <w:numFmt w:val="decimal"/>
      <w:lvlText w:val="2.3%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5">
    <w:nsid w:val="6A9A5BCC"/>
    <w:multiLevelType w:val="hybridMultilevel"/>
    <w:tmpl w:val="98D6CA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nsid w:val="6B0D0E1B"/>
    <w:multiLevelType w:val="multilevel"/>
    <w:tmpl w:val="57A49E20"/>
    <w:lvl w:ilvl="0">
      <w:start w:val="2"/>
      <w:numFmt w:val="decimal"/>
      <w:lvlText w:val="%1"/>
      <w:lvlJc w:val="left"/>
      <w:pPr>
        <w:ind w:left="465" w:hanging="465"/>
      </w:pPr>
      <w:rPr>
        <w:rFonts w:hint="default"/>
      </w:rPr>
    </w:lvl>
    <w:lvl w:ilvl="1">
      <w:start w:val="39"/>
      <w:numFmt w:val="decimal"/>
      <w:lvlText w:val="%1.%2"/>
      <w:lvlJc w:val="left"/>
      <w:pPr>
        <w:ind w:left="607" w:hanging="46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67">
    <w:nsid w:val="6C677E4E"/>
    <w:multiLevelType w:val="hybridMultilevel"/>
    <w:tmpl w:val="81064EE2"/>
    <w:lvl w:ilvl="0" w:tplc="0186E41E">
      <w:start w:val="5"/>
      <w:numFmt w:val="decimal"/>
      <w:lvlText w:val="2.5%1"/>
      <w:lvlJc w:val="center"/>
      <w:pPr>
        <w:ind w:left="164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8">
    <w:nsid w:val="6DF92789"/>
    <w:multiLevelType w:val="hybridMultilevel"/>
    <w:tmpl w:val="8BAE0F44"/>
    <w:lvl w:ilvl="0" w:tplc="04E66AA4">
      <w:numFmt w:val="decimal"/>
      <w:lvlText w:val="2.4%1"/>
      <w:lvlJc w:val="center"/>
      <w:pPr>
        <w:ind w:left="86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9">
    <w:nsid w:val="70FD74E6"/>
    <w:multiLevelType w:val="multilevel"/>
    <w:tmpl w:val="D4E4B8D4"/>
    <w:lvl w:ilvl="0">
      <w:start w:val="2"/>
      <w:numFmt w:val="decimal"/>
      <w:lvlText w:val="%1.0"/>
      <w:lvlJc w:val="left"/>
      <w:pPr>
        <w:ind w:left="405" w:hanging="405"/>
      </w:pPr>
      <w:rPr>
        <w:rFonts w:hint="default"/>
        <w:b/>
      </w:rPr>
    </w:lvl>
    <w:lvl w:ilvl="1">
      <w:start w:val="7"/>
      <w:numFmt w:val="decimal"/>
      <w:lvlText w:val="2.3%2"/>
      <w:lvlJc w:val="center"/>
      <w:pPr>
        <w:ind w:left="831" w:hanging="405"/>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70">
    <w:nsid w:val="72E16322"/>
    <w:multiLevelType w:val="multilevel"/>
    <w:tmpl w:val="3350E7E2"/>
    <w:lvl w:ilvl="0">
      <w:start w:val="2"/>
      <w:numFmt w:val="decimal"/>
      <w:lvlText w:val="%1"/>
      <w:lvlJc w:val="left"/>
      <w:pPr>
        <w:ind w:left="465" w:hanging="465"/>
      </w:pPr>
      <w:rPr>
        <w:rFonts w:hint="default"/>
      </w:rPr>
    </w:lvl>
    <w:lvl w:ilvl="1">
      <w:start w:val="37"/>
      <w:numFmt w:val="decimal"/>
      <w:lvlText w:val="%1.%2"/>
      <w:lvlJc w:val="left"/>
      <w:pPr>
        <w:ind w:left="1174" w:hanging="46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71">
    <w:nsid w:val="734E3C33"/>
    <w:multiLevelType w:val="hybridMultilevel"/>
    <w:tmpl w:val="102AA1D8"/>
    <w:lvl w:ilvl="0" w:tplc="BD584EAC">
      <w:start w:val="1"/>
      <w:numFmt w:val="decimal"/>
      <w:lvlText w:val="3.%1"/>
      <w:lvlJc w:val="left"/>
      <w:pPr>
        <w:ind w:left="7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2">
    <w:nsid w:val="73B00AEF"/>
    <w:multiLevelType w:val="multilevel"/>
    <w:tmpl w:val="D586FA88"/>
    <w:lvl w:ilvl="0">
      <w:start w:val="2"/>
      <w:numFmt w:val="decimal"/>
      <w:lvlText w:val="%1"/>
      <w:lvlJc w:val="left"/>
      <w:pPr>
        <w:ind w:left="465" w:hanging="465"/>
      </w:pPr>
      <w:rPr>
        <w:rFonts w:hint="default"/>
      </w:rPr>
    </w:lvl>
    <w:lvl w:ilvl="1">
      <w:start w:val="8"/>
      <w:numFmt w:val="decimal"/>
      <w:lvlText w:val="2.3%2"/>
      <w:lvlJc w:val="left"/>
      <w:pPr>
        <w:ind w:left="749" w:hanging="465"/>
      </w:pPr>
      <w:rPr>
        <w:rFonts w:hint="default"/>
      </w:rPr>
    </w:lvl>
    <w:lvl w:ilvl="2">
      <w:start w:val="1"/>
      <w:numFmt w:val="decimal"/>
      <w:lvlText w:val="%1.%2.%3"/>
      <w:lvlJc w:val="left"/>
      <w:pPr>
        <w:ind w:left="2098" w:hanging="720"/>
      </w:pPr>
      <w:rPr>
        <w:rFonts w:hint="default"/>
      </w:rPr>
    </w:lvl>
    <w:lvl w:ilvl="3">
      <w:start w:val="1"/>
      <w:numFmt w:val="decimal"/>
      <w:lvlText w:val="%1.%2.%3.%4"/>
      <w:lvlJc w:val="left"/>
      <w:pPr>
        <w:ind w:left="3147" w:hanging="1080"/>
      </w:pPr>
      <w:rPr>
        <w:rFonts w:hint="default"/>
      </w:rPr>
    </w:lvl>
    <w:lvl w:ilvl="4">
      <w:start w:val="1"/>
      <w:numFmt w:val="decimal"/>
      <w:lvlText w:val="%1.%2.%3.%4.%5"/>
      <w:lvlJc w:val="left"/>
      <w:pPr>
        <w:ind w:left="3836" w:hanging="1080"/>
      </w:pPr>
      <w:rPr>
        <w:rFonts w:hint="default"/>
      </w:rPr>
    </w:lvl>
    <w:lvl w:ilvl="5">
      <w:start w:val="1"/>
      <w:numFmt w:val="decimal"/>
      <w:lvlText w:val="%1.%2.%3.%4.%5.%6"/>
      <w:lvlJc w:val="left"/>
      <w:pPr>
        <w:ind w:left="4885" w:hanging="1440"/>
      </w:pPr>
      <w:rPr>
        <w:rFonts w:hint="default"/>
      </w:rPr>
    </w:lvl>
    <w:lvl w:ilvl="6">
      <w:start w:val="1"/>
      <w:numFmt w:val="decimal"/>
      <w:lvlText w:val="%1.%2.%3.%4.%5.%6.%7"/>
      <w:lvlJc w:val="left"/>
      <w:pPr>
        <w:ind w:left="5574" w:hanging="1440"/>
      </w:pPr>
      <w:rPr>
        <w:rFonts w:hint="default"/>
      </w:rPr>
    </w:lvl>
    <w:lvl w:ilvl="7">
      <w:start w:val="1"/>
      <w:numFmt w:val="decimal"/>
      <w:lvlText w:val="%1.%2.%3.%4.%5.%6.%7.%8"/>
      <w:lvlJc w:val="left"/>
      <w:pPr>
        <w:ind w:left="6623" w:hanging="1800"/>
      </w:pPr>
      <w:rPr>
        <w:rFonts w:hint="default"/>
      </w:rPr>
    </w:lvl>
    <w:lvl w:ilvl="8">
      <w:start w:val="1"/>
      <w:numFmt w:val="decimal"/>
      <w:lvlText w:val="%1.%2.%3.%4.%5.%6.%7.%8.%9"/>
      <w:lvlJc w:val="left"/>
      <w:pPr>
        <w:ind w:left="7312" w:hanging="1800"/>
      </w:pPr>
      <w:rPr>
        <w:rFonts w:hint="default"/>
      </w:rPr>
    </w:lvl>
  </w:abstractNum>
  <w:abstractNum w:abstractNumId="73">
    <w:nsid w:val="73F31318"/>
    <w:multiLevelType w:val="multilevel"/>
    <w:tmpl w:val="E8DCFA26"/>
    <w:lvl w:ilvl="0">
      <w:start w:val="2"/>
      <w:numFmt w:val="decimal"/>
      <w:lvlText w:val="%1"/>
      <w:lvlJc w:val="left"/>
      <w:pPr>
        <w:ind w:left="465" w:hanging="465"/>
      </w:pPr>
      <w:rPr>
        <w:rFonts w:hint="default"/>
      </w:rPr>
    </w:lvl>
    <w:lvl w:ilvl="1">
      <w:start w:val="7"/>
      <w:numFmt w:val="decimal"/>
      <w:lvlText w:val="%1.%2"/>
      <w:lvlJc w:val="left"/>
      <w:pPr>
        <w:ind w:left="672" w:hanging="465"/>
      </w:pPr>
      <w:rPr>
        <w:rFonts w:hint="default"/>
        <w:b w:val="0"/>
      </w:rPr>
    </w:lvl>
    <w:lvl w:ilvl="2">
      <w:start w:val="1"/>
      <w:numFmt w:val="decimal"/>
      <w:lvlText w:val="%1.%2.%3"/>
      <w:lvlJc w:val="left"/>
      <w:pPr>
        <w:ind w:left="1134" w:hanging="720"/>
      </w:pPr>
      <w:rPr>
        <w:rFonts w:hint="default"/>
      </w:rPr>
    </w:lvl>
    <w:lvl w:ilvl="3">
      <w:start w:val="1"/>
      <w:numFmt w:val="decimal"/>
      <w:lvlText w:val="%1.%2.%3.%4"/>
      <w:lvlJc w:val="left"/>
      <w:pPr>
        <w:ind w:left="1701" w:hanging="1080"/>
      </w:pPr>
      <w:rPr>
        <w:rFonts w:hint="default"/>
      </w:rPr>
    </w:lvl>
    <w:lvl w:ilvl="4">
      <w:start w:val="1"/>
      <w:numFmt w:val="decimal"/>
      <w:lvlText w:val="%1.%2.%3.%4.%5"/>
      <w:lvlJc w:val="left"/>
      <w:pPr>
        <w:ind w:left="1908" w:hanging="1080"/>
      </w:pPr>
      <w:rPr>
        <w:rFonts w:hint="default"/>
      </w:rPr>
    </w:lvl>
    <w:lvl w:ilvl="5">
      <w:start w:val="1"/>
      <w:numFmt w:val="decimal"/>
      <w:lvlText w:val="%1.%2.%3.%4.%5.%6"/>
      <w:lvlJc w:val="left"/>
      <w:pPr>
        <w:ind w:left="2475" w:hanging="1440"/>
      </w:pPr>
      <w:rPr>
        <w:rFonts w:hint="default"/>
      </w:rPr>
    </w:lvl>
    <w:lvl w:ilvl="6">
      <w:start w:val="1"/>
      <w:numFmt w:val="decimal"/>
      <w:lvlText w:val="%1.%2.%3.%4.%5.%6.%7"/>
      <w:lvlJc w:val="left"/>
      <w:pPr>
        <w:ind w:left="2682" w:hanging="1440"/>
      </w:pPr>
      <w:rPr>
        <w:rFonts w:hint="default"/>
      </w:rPr>
    </w:lvl>
    <w:lvl w:ilvl="7">
      <w:start w:val="1"/>
      <w:numFmt w:val="decimal"/>
      <w:lvlText w:val="%1.%2.%3.%4.%5.%6.%7.%8"/>
      <w:lvlJc w:val="left"/>
      <w:pPr>
        <w:ind w:left="3249" w:hanging="1800"/>
      </w:pPr>
      <w:rPr>
        <w:rFonts w:hint="default"/>
      </w:rPr>
    </w:lvl>
    <w:lvl w:ilvl="8">
      <w:start w:val="1"/>
      <w:numFmt w:val="decimal"/>
      <w:lvlText w:val="%1.%2.%3.%4.%5.%6.%7.%8.%9"/>
      <w:lvlJc w:val="left"/>
      <w:pPr>
        <w:ind w:left="3456" w:hanging="1800"/>
      </w:pPr>
      <w:rPr>
        <w:rFonts w:hint="default"/>
      </w:rPr>
    </w:lvl>
  </w:abstractNum>
  <w:abstractNum w:abstractNumId="74">
    <w:nsid w:val="75614FD7"/>
    <w:multiLevelType w:val="multilevel"/>
    <w:tmpl w:val="24064254"/>
    <w:lvl w:ilvl="0">
      <w:start w:val="2"/>
      <w:numFmt w:val="decimal"/>
      <w:lvlText w:val="%1"/>
      <w:lvlJc w:val="left"/>
      <w:pPr>
        <w:ind w:left="465" w:hanging="465"/>
      </w:pPr>
      <w:rPr>
        <w:rFonts w:hint="default"/>
      </w:rPr>
    </w:lvl>
    <w:lvl w:ilvl="1">
      <w:start w:val="9"/>
      <w:numFmt w:val="decimal"/>
      <w:lvlText w:val="2.4%2"/>
      <w:lvlJc w:val="left"/>
      <w:pPr>
        <w:ind w:left="749" w:hanging="465"/>
      </w:pPr>
      <w:rPr>
        <w:rFonts w:hint="default"/>
      </w:rPr>
    </w:lvl>
    <w:lvl w:ilvl="2">
      <w:start w:val="1"/>
      <w:numFmt w:val="decimal"/>
      <w:lvlText w:val="%1.%2.%3"/>
      <w:lvlJc w:val="left"/>
      <w:pPr>
        <w:ind w:left="2098" w:hanging="720"/>
      </w:pPr>
      <w:rPr>
        <w:rFonts w:hint="default"/>
      </w:rPr>
    </w:lvl>
    <w:lvl w:ilvl="3">
      <w:start w:val="1"/>
      <w:numFmt w:val="decimal"/>
      <w:lvlText w:val="%1.%2.%3.%4"/>
      <w:lvlJc w:val="left"/>
      <w:pPr>
        <w:ind w:left="3147" w:hanging="1080"/>
      </w:pPr>
      <w:rPr>
        <w:rFonts w:hint="default"/>
      </w:rPr>
    </w:lvl>
    <w:lvl w:ilvl="4">
      <w:start w:val="1"/>
      <w:numFmt w:val="decimal"/>
      <w:lvlText w:val="%1.%2.%3.%4.%5"/>
      <w:lvlJc w:val="left"/>
      <w:pPr>
        <w:ind w:left="3836" w:hanging="1080"/>
      </w:pPr>
      <w:rPr>
        <w:rFonts w:hint="default"/>
      </w:rPr>
    </w:lvl>
    <w:lvl w:ilvl="5">
      <w:start w:val="1"/>
      <w:numFmt w:val="decimal"/>
      <w:lvlText w:val="%1.%2.%3.%4.%5.%6"/>
      <w:lvlJc w:val="left"/>
      <w:pPr>
        <w:ind w:left="4885" w:hanging="1440"/>
      </w:pPr>
      <w:rPr>
        <w:rFonts w:hint="default"/>
      </w:rPr>
    </w:lvl>
    <w:lvl w:ilvl="6">
      <w:start w:val="1"/>
      <w:numFmt w:val="decimal"/>
      <w:lvlText w:val="%1.%2.%3.%4.%5.%6.%7"/>
      <w:lvlJc w:val="left"/>
      <w:pPr>
        <w:ind w:left="5574" w:hanging="1440"/>
      </w:pPr>
      <w:rPr>
        <w:rFonts w:hint="default"/>
      </w:rPr>
    </w:lvl>
    <w:lvl w:ilvl="7">
      <w:start w:val="1"/>
      <w:numFmt w:val="decimal"/>
      <w:lvlText w:val="%1.%2.%3.%4.%5.%6.%7.%8"/>
      <w:lvlJc w:val="left"/>
      <w:pPr>
        <w:ind w:left="6623" w:hanging="1800"/>
      </w:pPr>
      <w:rPr>
        <w:rFonts w:hint="default"/>
      </w:rPr>
    </w:lvl>
    <w:lvl w:ilvl="8">
      <w:start w:val="1"/>
      <w:numFmt w:val="decimal"/>
      <w:lvlText w:val="%1.%2.%3.%4.%5.%6.%7.%8.%9"/>
      <w:lvlJc w:val="left"/>
      <w:pPr>
        <w:ind w:left="7312" w:hanging="1800"/>
      </w:pPr>
      <w:rPr>
        <w:rFonts w:hint="default"/>
      </w:rPr>
    </w:lvl>
  </w:abstractNum>
  <w:abstractNum w:abstractNumId="75">
    <w:nsid w:val="76031BCE"/>
    <w:multiLevelType w:val="multilevel"/>
    <w:tmpl w:val="5E78B25E"/>
    <w:lvl w:ilvl="0">
      <w:start w:val="2"/>
      <w:numFmt w:val="decimal"/>
      <w:lvlText w:val="%1.0"/>
      <w:lvlJc w:val="left"/>
      <w:pPr>
        <w:ind w:left="405" w:hanging="405"/>
      </w:pPr>
      <w:rPr>
        <w:rFonts w:hint="default"/>
        <w:b/>
      </w:rPr>
    </w:lvl>
    <w:lvl w:ilvl="1">
      <w:start w:val="4"/>
      <w:numFmt w:val="decimal"/>
      <w:lvlText w:val="2.3%2"/>
      <w:lvlJc w:val="center"/>
      <w:pPr>
        <w:ind w:left="547" w:hanging="405"/>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76">
    <w:nsid w:val="7613116F"/>
    <w:multiLevelType w:val="hybridMultilevel"/>
    <w:tmpl w:val="FCA26DE8"/>
    <w:lvl w:ilvl="0" w:tplc="C53C4022">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7">
    <w:nsid w:val="76D4622B"/>
    <w:multiLevelType w:val="hybridMultilevel"/>
    <w:tmpl w:val="CE226CB6"/>
    <w:lvl w:ilvl="0" w:tplc="08090017">
      <w:start w:val="1"/>
      <w:numFmt w:val="lowerLetter"/>
      <w:lvlText w:val="%1)"/>
      <w:lvlJc w:val="left"/>
      <w:pPr>
        <w:ind w:left="1080" w:hanging="360"/>
      </w:pPr>
      <w:rPr>
        <w:rFonts w:hint="default"/>
        <w:b w:val="0"/>
        <w:sz w:val="24"/>
        <w:szCs w:val="24"/>
      </w:rPr>
    </w:lvl>
    <w:lvl w:ilvl="1" w:tplc="08090019">
      <w:start w:val="1"/>
      <w:numFmt w:val="lowerLetter"/>
      <w:lvlText w:val="%2."/>
      <w:lvlJc w:val="left"/>
      <w:pPr>
        <w:ind w:left="1734" w:hanging="360"/>
      </w:pPr>
    </w:lvl>
    <w:lvl w:ilvl="2" w:tplc="CF8A885E">
      <w:numFmt w:val="bullet"/>
      <w:lvlText w:val="•"/>
      <w:lvlJc w:val="left"/>
      <w:pPr>
        <w:ind w:left="3294" w:hanging="1020"/>
      </w:pPr>
      <w:rPr>
        <w:rFonts w:ascii="Arial" w:eastAsia="Times New Roman" w:hAnsi="Arial" w:cs="Arial" w:hint="default"/>
      </w:rPr>
    </w:lvl>
    <w:lvl w:ilvl="3" w:tplc="0809000F" w:tentative="1">
      <w:start w:val="1"/>
      <w:numFmt w:val="decimal"/>
      <w:lvlText w:val="%4."/>
      <w:lvlJc w:val="left"/>
      <w:pPr>
        <w:ind w:left="3174" w:hanging="360"/>
      </w:pPr>
    </w:lvl>
    <w:lvl w:ilvl="4" w:tplc="08090019" w:tentative="1">
      <w:start w:val="1"/>
      <w:numFmt w:val="lowerLetter"/>
      <w:lvlText w:val="%5."/>
      <w:lvlJc w:val="left"/>
      <w:pPr>
        <w:ind w:left="3894" w:hanging="360"/>
      </w:pPr>
    </w:lvl>
    <w:lvl w:ilvl="5" w:tplc="0809001B" w:tentative="1">
      <w:start w:val="1"/>
      <w:numFmt w:val="lowerRoman"/>
      <w:lvlText w:val="%6."/>
      <w:lvlJc w:val="right"/>
      <w:pPr>
        <w:ind w:left="4614" w:hanging="180"/>
      </w:pPr>
    </w:lvl>
    <w:lvl w:ilvl="6" w:tplc="0809000F" w:tentative="1">
      <w:start w:val="1"/>
      <w:numFmt w:val="decimal"/>
      <w:lvlText w:val="%7."/>
      <w:lvlJc w:val="left"/>
      <w:pPr>
        <w:ind w:left="5334" w:hanging="360"/>
      </w:pPr>
    </w:lvl>
    <w:lvl w:ilvl="7" w:tplc="08090019" w:tentative="1">
      <w:start w:val="1"/>
      <w:numFmt w:val="lowerLetter"/>
      <w:lvlText w:val="%8."/>
      <w:lvlJc w:val="left"/>
      <w:pPr>
        <w:ind w:left="6054" w:hanging="360"/>
      </w:pPr>
    </w:lvl>
    <w:lvl w:ilvl="8" w:tplc="0809001B" w:tentative="1">
      <w:start w:val="1"/>
      <w:numFmt w:val="lowerRoman"/>
      <w:lvlText w:val="%9."/>
      <w:lvlJc w:val="right"/>
      <w:pPr>
        <w:ind w:left="6774" w:hanging="180"/>
      </w:pPr>
    </w:lvl>
  </w:abstractNum>
  <w:abstractNum w:abstractNumId="78">
    <w:nsid w:val="76FD1A34"/>
    <w:multiLevelType w:val="hybridMultilevel"/>
    <w:tmpl w:val="C8B8F962"/>
    <w:lvl w:ilvl="0" w:tplc="253834CC">
      <w:start w:val="3"/>
      <w:numFmt w:val="decimal"/>
      <w:lvlText w:val="3.%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9">
    <w:nsid w:val="77BB0786"/>
    <w:multiLevelType w:val="multilevel"/>
    <w:tmpl w:val="BDB429C4"/>
    <w:lvl w:ilvl="0">
      <w:start w:val="1"/>
      <w:numFmt w:val="decimal"/>
      <w:lvlText w:val="%1."/>
      <w:lvlJc w:val="left"/>
      <w:pPr>
        <w:ind w:left="720" w:hanging="360"/>
      </w:pPr>
      <w:rPr>
        <w:rFonts w:hint="default"/>
        <w:b/>
        <w:sz w:val="24"/>
        <w:szCs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0">
    <w:nsid w:val="77D87625"/>
    <w:multiLevelType w:val="hybridMultilevel"/>
    <w:tmpl w:val="5F524B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nsid w:val="78094ACA"/>
    <w:multiLevelType w:val="multilevel"/>
    <w:tmpl w:val="38E87DE6"/>
    <w:lvl w:ilvl="0">
      <w:start w:val="2"/>
      <w:numFmt w:val="none"/>
      <w:lvlText w:val="1.2"/>
      <w:lvlJc w:val="left"/>
      <w:pPr>
        <w:ind w:left="405" w:hanging="405"/>
      </w:pPr>
      <w:rPr>
        <w:rFonts w:hint="default"/>
        <w:b/>
      </w:rPr>
    </w:lvl>
    <w:lvl w:ilvl="1">
      <w:start w:val="2"/>
      <w:numFmt w:val="decimal"/>
      <w:lvlText w:val="1.%2"/>
      <w:lvlJc w:val="left"/>
      <w:pPr>
        <w:ind w:left="624" w:hanging="198"/>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82">
    <w:nsid w:val="7C0111B9"/>
    <w:multiLevelType w:val="hybridMultilevel"/>
    <w:tmpl w:val="74B60750"/>
    <w:lvl w:ilvl="0" w:tplc="06CC1C2A">
      <w:start w:val="1"/>
      <w:numFmt w:val="decimal"/>
      <w:lvlText w:val="3.%1"/>
      <w:lvlJc w:val="left"/>
      <w:pPr>
        <w:ind w:left="786" w:hanging="360"/>
      </w:pPr>
      <w:rPr>
        <w:rFonts w:hint="default"/>
        <w:b w:val="0"/>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3">
    <w:nsid w:val="7C18029B"/>
    <w:multiLevelType w:val="hybridMultilevel"/>
    <w:tmpl w:val="3612C07A"/>
    <w:lvl w:ilvl="0" w:tplc="4D123460">
      <w:start w:val="1"/>
      <w:numFmt w:val="decimal"/>
      <w:lvlText w:val="3.1%1"/>
      <w:lvlJc w:val="left"/>
      <w:pPr>
        <w:ind w:left="502"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4">
    <w:nsid w:val="7C552919"/>
    <w:multiLevelType w:val="hybridMultilevel"/>
    <w:tmpl w:val="B582CC2E"/>
    <w:lvl w:ilvl="0" w:tplc="1654D740">
      <w:start w:val="1"/>
      <w:numFmt w:val="decimal"/>
      <w:lvlText w:val="2.4%1"/>
      <w:lvlJc w:val="left"/>
      <w:pPr>
        <w:ind w:left="1429" w:hanging="360"/>
      </w:pPr>
      <w:rPr>
        <w:rFonts w:hint="default"/>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85">
    <w:nsid w:val="7F635DBD"/>
    <w:multiLevelType w:val="multilevel"/>
    <w:tmpl w:val="D2ACBA44"/>
    <w:lvl w:ilvl="0">
      <w:start w:val="2"/>
      <w:numFmt w:val="decimal"/>
      <w:lvlText w:val="%1"/>
      <w:lvlJc w:val="left"/>
      <w:pPr>
        <w:ind w:left="465" w:hanging="465"/>
      </w:pPr>
      <w:rPr>
        <w:rFonts w:hint="default"/>
      </w:rPr>
    </w:lvl>
    <w:lvl w:ilvl="1">
      <w:start w:val="7"/>
      <w:numFmt w:val="decimal"/>
      <w:lvlText w:val="2.4%2"/>
      <w:lvlJc w:val="left"/>
      <w:pPr>
        <w:ind w:left="749" w:hanging="465"/>
      </w:pPr>
      <w:rPr>
        <w:rFonts w:hint="default"/>
      </w:rPr>
    </w:lvl>
    <w:lvl w:ilvl="2">
      <w:start w:val="1"/>
      <w:numFmt w:val="decimal"/>
      <w:lvlText w:val="%1.%2.%3"/>
      <w:lvlJc w:val="left"/>
      <w:pPr>
        <w:ind w:left="2098" w:hanging="720"/>
      </w:pPr>
      <w:rPr>
        <w:rFonts w:hint="default"/>
      </w:rPr>
    </w:lvl>
    <w:lvl w:ilvl="3">
      <w:start w:val="1"/>
      <w:numFmt w:val="decimal"/>
      <w:lvlText w:val="%1.%2.%3.%4"/>
      <w:lvlJc w:val="left"/>
      <w:pPr>
        <w:ind w:left="3147" w:hanging="1080"/>
      </w:pPr>
      <w:rPr>
        <w:rFonts w:hint="default"/>
      </w:rPr>
    </w:lvl>
    <w:lvl w:ilvl="4">
      <w:start w:val="1"/>
      <w:numFmt w:val="decimal"/>
      <w:lvlText w:val="%1.%2.%3.%4.%5"/>
      <w:lvlJc w:val="left"/>
      <w:pPr>
        <w:ind w:left="3836" w:hanging="1080"/>
      </w:pPr>
      <w:rPr>
        <w:rFonts w:hint="default"/>
      </w:rPr>
    </w:lvl>
    <w:lvl w:ilvl="5">
      <w:start w:val="1"/>
      <w:numFmt w:val="decimal"/>
      <w:lvlText w:val="%1.%2.%3.%4.%5.%6"/>
      <w:lvlJc w:val="left"/>
      <w:pPr>
        <w:ind w:left="4885" w:hanging="1440"/>
      </w:pPr>
      <w:rPr>
        <w:rFonts w:hint="default"/>
      </w:rPr>
    </w:lvl>
    <w:lvl w:ilvl="6">
      <w:start w:val="1"/>
      <w:numFmt w:val="decimal"/>
      <w:lvlText w:val="%1.%2.%3.%4.%5.%6.%7"/>
      <w:lvlJc w:val="left"/>
      <w:pPr>
        <w:ind w:left="5574" w:hanging="1440"/>
      </w:pPr>
      <w:rPr>
        <w:rFonts w:hint="default"/>
      </w:rPr>
    </w:lvl>
    <w:lvl w:ilvl="7">
      <w:start w:val="1"/>
      <w:numFmt w:val="decimal"/>
      <w:lvlText w:val="%1.%2.%3.%4.%5.%6.%7.%8"/>
      <w:lvlJc w:val="left"/>
      <w:pPr>
        <w:ind w:left="6623" w:hanging="1800"/>
      </w:pPr>
      <w:rPr>
        <w:rFonts w:hint="default"/>
      </w:rPr>
    </w:lvl>
    <w:lvl w:ilvl="8">
      <w:start w:val="1"/>
      <w:numFmt w:val="decimal"/>
      <w:lvlText w:val="%1.%2.%3.%4.%5.%6.%7.%8.%9"/>
      <w:lvlJc w:val="left"/>
      <w:pPr>
        <w:ind w:left="7312" w:hanging="1800"/>
      </w:pPr>
      <w:rPr>
        <w:rFonts w:hint="default"/>
      </w:rPr>
    </w:lvl>
  </w:abstractNum>
  <w:num w:numId="1">
    <w:abstractNumId w:val="79"/>
  </w:num>
  <w:num w:numId="2">
    <w:abstractNumId w:val="77"/>
  </w:num>
  <w:num w:numId="3">
    <w:abstractNumId w:val="2"/>
  </w:num>
  <w:num w:numId="4">
    <w:abstractNumId w:val="81"/>
  </w:num>
  <w:num w:numId="5">
    <w:abstractNumId w:val="47"/>
  </w:num>
  <w:num w:numId="6">
    <w:abstractNumId w:val="22"/>
  </w:num>
  <w:num w:numId="7">
    <w:abstractNumId w:val="37"/>
  </w:num>
  <w:num w:numId="8">
    <w:abstractNumId w:val="1"/>
  </w:num>
  <w:num w:numId="9">
    <w:abstractNumId w:val="39"/>
  </w:num>
  <w:num w:numId="10">
    <w:abstractNumId w:val="18"/>
  </w:num>
  <w:num w:numId="11">
    <w:abstractNumId w:val="41"/>
  </w:num>
  <w:num w:numId="12">
    <w:abstractNumId w:val="7"/>
  </w:num>
  <w:num w:numId="13">
    <w:abstractNumId w:val="3"/>
  </w:num>
  <w:num w:numId="14">
    <w:abstractNumId w:val="31"/>
  </w:num>
  <w:num w:numId="15">
    <w:abstractNumId w:val="50"/>
  </w:num>
  <w:num w:numId="16">
    <w:abstractNumId w:val="33"/>
  </w:num>
  <w:num w:numId="17">
    <w:abstractNumId w:val="16"/>
  </w:num>
  <w:num w:numId="18">
    <w:abstractNumId w:val="71"/>
  </w:num>
  <w:num w:numId="19">
    <w:abstractNumId w:val="20"/>
  </w:num>
  <w:num w:numId="20">
    <w:abstractNumId w:val="80"/>
  </w:num>
  <w:num w:numId="21">
    <w:abstractNumId w:val="51"/>
  </w:num>
  <w:num w:numId="22">
    <w:abstractNumId w:val="4"/>
  </w:num>
  <w:num w:numId="23">
    <w:abstractNumId w:val="56"/>
  </w:num>
  <w:num w:numId="24">
    <w:abstractNumId w:val="59"/>
  </w:num>
  <w:num w:numId="25">
    <w:abstractNumId w:val="26"/>
  </w:num>
  <w:num w:numId="26">
    <w:abstractNumId w:val="52"/>
  </w:num>
  <w:num w:numId="27">
    <w:abstractNumId w:val="17"/>
  </w:num>
  <w:num w:numId="28">
    <w:abstractNumId w:val="46"/>
  </w:num>
  <w:num w:numId="29">
    <w:abstractNumId w:val="6"/>
  </w:num>
  <w:num w:numId="30">
    <w:abstractNumId w:val="82"/>
  </w:num>
  <w:num w:numId="31">
    <w:abstractNumId w:val="76"/>
  </w:num>
  <w:num w:numId="32">
    <w:abstractNumId w:val="78"/>
  </w:num>
  <w:num w:numId="33">
    <w:abstractNumId w:val="55"/>
  </w:num>
  <w:num w:numId="34">
    <w:abstractNumId w:val="42"/>
  </w:num>
  <w:num w:numId="35">
    <w:abstractNumId w:val="61"/>
  </w:num>
  <w:num w:numId="36">
    <w:abstractNumId w:val="32"/>
  </w:num>
  <w:num w:numId="37">
    <w:abstractNumId w:val="54"/>
  </w:num>
  <w:num w:numId="38">
    <w:abstractNumId w:val="13"/>
  </w:num>
  <w:num w:numId="39">
    <w:abstractNumId w:val="0"/>
  </w:num>
  <w:num w:numId="40">
    <w:abstractNumId w:val="72"/>
  </w:num>
  <w:num w:numId="41">
    <w:abstractNumId w:val="14"/>
  </w:num>
  <w:num w:numId="42">
    <w:abstractNumId w:val="44"/>
  </w:num>
  <w:num w:numId="43">
    <w:abstractNumId w:val="64"/>
  </w:num>
  <w:num w:numId="44">
    <w:abstractNumId w:val="63"/>
  </w:num>
  <w:num w:numId="45">
    <w:abstractNumId w:val="70"/>
  </w:num>
  <w:num w:numId="46">
    <w:abstractNumId w:val="65"/>
  </w:num>
  <w:num w:numId="47">
    <w:abstractNumId w:val="38"/>
  </w:num>
  <w:num w:numId="48">
    <w:abstractNumId w:val="10"/>
  </w:num>
  <w:num w:numId="49">
    <w:abstractNumId w:val="9"/>
  </w:num>
  <w:num w:numId="50">
    <w:abstractNumId w:val="58"/>
  </w:num>
  <w:num w:numId="51">
    <w:abstractNumId w:val="25"/>
  </w:num>
  <w:num w:numId="52">
    <w:abstractNumId w:val="67"/>
  </w:num>
  <w:num w:numId="53">
    <w:abstractNumId w:val="62"/>
  </w:num>
  <w:num w:numId="54">
    <w:abstractNumId w:val="15"/>
  </w:num>
  <w:num w:numId="55">
    <w:abstractNumId w:val="11"/>
  </w:num>
  <w:num w:numId="56">
    <w:abstractNumId w:val="53"/>
  </w:num>
  <w:num w:numId="57">
    <w:abstractNumId w:val="49"/>
  </w:num>
  <w:num w:numId="58">
    <w:abstractNumId w:val="12"/>
  </w:num>
  <w:num w:numId="59">
    <w:abstractNumId w:val="83"/>
  </w:num>
  <w:num w:numId="60">
    <w:abstractNumId w:val="34"/>
  </w:num>
  <w:num w:numId="61">
    <w:abstractNumId w:val="45"/>
  </w:num>
  <w:num w:numId="62">
    <w:abstractNumId w:val="36"/>
  </w:num>
  <w:num w:numId="63">
    <w:abstractNumId w:val="19"/>
  </w:num>
  <w:num w:numId="64">
    <w:abstractNumId w:val="73"/>
  </w:num>
  <w:num w:numId="65">
    <w:abstractNumId w:val="28"/>
  </w:num>
  <w:num w:numId="66">
    <w:abstractNumId w:val="5"/>
  </w:num>
  <w:num w:numId="67">
    <w:abstractNumId w:val="75"/>
  </w:num>
  <w:num w:numId="68">
    <w:abstractNumId w:val="84"/>
  </w:num>
  <w:num w:numId="69">
    <w:abstractNumId w:val="23"/>
  </w:num>
  <w:num w:numId="70">
    <w:abstractNumId w:val="29"/>
  </w:num>
  <w:num w:numId="71">
    <w:abstractNumId w:val="40"/>
  </w:num>
  <w:num w:numId="72">
    <w:abstractNumId w:val="66"/>
  </w:num>
  <w:num w:numId="73">
    <w:abstractNumId w:val="74"/>
  </w:num>
  <w:num w:numId="74">
    <w:abstractNumId w:val="43"/>
  </w:num>
  <w:num w:numId="75">
    <w:abstractNumId w:val="48"/>
  </w:num>
  <w:num w:numId="76">
    <w:abstractNumId w:val="8"/>
  </w:num>
  <w:num w:numId="77">
    <w:abstractNumId w:val="24"/>
  </w:num>
  <w:num w:numId="78">
    <w:abstractNumId w:val="27"/>
  </w:num>
  <w:num w:numId="79">
    <w:abstractNumId w:val="69"/>
  </w:num>
  <w:num w:numId="80">
    <w:abstractNumId w:val="60"/>
  </w:num>
  <w:num w:numId="81">
    <w:abstractNumId w:val="85"/>
  </w:num>
  <w:num w:numId="82">
    <w:abstractNumId w:val="57"/>
  </w:num>
  <w:num w:numId="83">
    <w:abstractNumId w:val="21"/>
  </w:num>
  <w:num w:numId="84">
    <w:abstractNumId w:val="68"/>
  </w:num>
  <w:num w:numId="85">
    <w:abstractNumId w:val="35"/>
  </w:num>
  <w:num w:numId="86">
    <w:abstractNumId w:val="30"/>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2"/>
  <w:displayVerticalDrawingGridEvery w:val="2"/>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LastOpened" w:val="28/06/2017 15:34"/>
  </w:docVars>
  <w:rsids>
    <w:rsidRoot w:val="00333FAA"/>
    <w:rsid w:val="0000089B"/>
    <w:rsid w:val="000013E8"/>
    <w:rsid w:val="00006F6F"/>
    <w:rsid w:val="00007814"/>
    <w:rsid w:val="00007960"/>
    <w:rsid w:val="000119C0"/>
    <w:rsid w:val="00011B67"/>
    <w:rsid w:val="0001210E"/>
    <w:rsid w:val="00012B11"/>
    <w:rsid w:val="000131B9"/>
    <w:rsid w:val="00015265"/>
    <w:rsid w:val="000163EE"/>
    <w:rsid w:val="00017C91"/>
    <w:rsid w:val="000217BC"/>
    <w:rsid w:val="0002225B"/>
    <w:rsid w:val="00022436"/>
    <w:rsid w:val="0002252A"/>
    <w:rsid w:val="0002314A"/>
    <w:rsid w:val="00025ABE"/>
    <w:rsid w:val="00027425"/>
    <w:rsid w:val="0002799D"/>
    <w:rsid w:val="00031795"/>
    <w:rsid w:val="00031C5C"/>
    <w:rsid w:val="00031FCC"/>
    <w:rsid w:val="0003318A"/>
    <w:rsid w:val="00037475"/>
    <w:rsid w:val="00037BE0"/>
    <w:rsid w:val="0004029A"/>
    <w:rsid w:val="00042683"/>
    <w:rsid w:val="00042CD9"/>
    <w:rsid w:val="0004310D"/>
    <w:rsid w:val="00043F86"/>
    <w:rsid w:val="000445EC"/>
    <w:rsid w:val="00045FE8"/>
    <w:rsid w:val="00052222"/>
    <w:rsid w:val="00052558"/>
    <w:rsid w:val="00053B97"/>
    <w:rsid w:val="00053BAD"/>
    <w:rsid w:val="000555AB"/>
    <w:rsid w:val="00057CF2"/>
    <w:rsid w:val="0006034E"/>
    <w:rsid w:val="00060C44"/>
    <w:rsid w:val="000618FC"/>
    <w:rsid w:val="00061D7A"/>
    <w:rsid w:val="00061DF9"/>
    <w:rsid w:val="000621FA"/>
    <w:rsid w:val="00063078"/>
    <w:rsid w:val="00063783"/>
    <w:rsid w:val="00064800"/>
    <w:rsid w:val="000652E0"/>
    <w:rsid w:val="0006617F"/>
    <w:rsid w:val="0006687D"/>
    <w:rsid w:val="000713BD"/>
    <w:rsid w:val="00072547"/>
    <w:rsid w:val="00072FA7"/>
    <w:rsid w:val="00073193"/>
    <w:rsid w:val="00073765"/>
    <w:rsid w:val="00074137"/>
    <w:rsid w:val="000743C7"/>
    <w:rsid w:val="00076343"/>
    <w:rsid w:val="000773A9"/>
    <w:rsid w:val="000817DC"/>
    <w:rsid w:val="0008415C"/>
    <w:rsid w:val="000874FD"/>
    <w:rsid w:val="00090038"/>
    <w:rsid w:val="00090086"/>
    <w:rsid w:val="00090F94"/>
    <w:rsid w:val="00091897"/>
    <w:rsid w:val="00091950"/>
    <w:rsid w:val="0009207E"/>
    <w:rsid w:val="000937DA"/>
    <w:rsid w:val="00094439"/>
    <w:rsid w:val="00094E7B"/>
    <w:rsid w:val="00094E90"/>
    <w:rsid w:val="00095755"/>
    <w:rsid w:val="00095A1A"/>
    <w:rsid w:val="00097294"/>
    <w:rsid w:val="00097587"/>
    <w:rsid w:val="000A0B39"/>
    <w:rsid w:val="000A1EAF"/>
    <w:rsid w:val="000A4437"/>
    <w:rsid w:val="000A47D1"/>
    <w:rsid w:val="000A5229"/>
    <w:rsid w:val="000A63BB"/>
    <w:rsid w:val="000A7F0F"/>
    <w:rsid w:val="000B20C5"/>
    <w:rsid w:val="000B215B"/>
    <w:rsid w:val="000B5FC8"/>
    <w:rsid w:val="000B788F"/>
    <w:rsid w:val="000C088B"/>
    <w:rsid w:val="000C11F1"/>
    <w:rsid w:val="000C1A07"/>
    <w:rsid w:val="000C7D67"/>
    <w:rsid w:val="000D325B"/>
    <w:rsid w:val="000D39D4"/>
    <w:rsid w:val="000D3AF9"/>
    <w:rsid w:val="000D4392"/>
    <w:rsid w:val="000D5959"/>
    <w:rsid w:val="000D5E55"/>
    <w:rsid w:val="000E14A4"/>
    <w:rsid w:val="000E5E42"/>
    <w:rsid w:val="000E70F4"/>
    <w:rsid w:val="000F0252"/>
    <w:rsid w:val="000F0621"/>
    <w:rsid w:val="000F145C"/>
    <w:rsid w:val="000F1625"/>
    <w:rsid w:val="000F2ACA"/>
    <w:rsid w:val="000F3F11"/>
    <w:rsid w:val="000F57E6"/>
    <w:rsid w:val="000F6E2C"/>
    <w:rsid w:val="000F7A5A"/>
    <w:rsid w:val="000F7B80"/>
    <w:rsid w:val="0010349E"/>
    <w:rsid w:val="00103C57"/>
    <w:rsid w:val="00103D6D"/>
    <w:rsid w:val="00105119"/>
    <w:rsid w:val="001058A6"/>
    <w:rsid w:val="00107852"/>
    <w:rsid w:val="00107AED"/>
    <w:rsid w:val="001122DA"/>
    <w:rsid w:val="00112721"/>
    <w:rsid w:val="00113AD3"/>
    <w:rsid w:val="00113B0F"/>
    <w:rsid w:val="0011499A"/>
    <w:rsid w:val="001161E4"/>
    <w:rsid w:val="00116D84"/>
    <w:rsid w:val="00116FF4"/>
    <w:rsid w:val="0011741A"/>
    <w:rsid w:val="00123FE5"/>
    <w:rsid w:val="001248DE"/>
    <w:rsid w:val="00125A0A"/>
    <w:rsid w:val="00125A26"/>
    <w:rsid w:val="00127264"/>
    <w:rsid w:val="001305E1"/>
    <w:rsid w:val="00132BD9"/>
    <w:rsid w:val="001347B9"/>
    <w:rsid w:val="00136732"/>
    <w:rsid w:val="00140391"/>
    <w:rsid w:val="00142D08"/>
    <w:rsid w:val="001446AF"/>
    <w:rsid w:val="00144C1D"/>
    <w:rsid w:val="00145163"/>
    <w:rsid w:val="0014523E"/>
    <w:rsid w:val="0014760B"/>
    <w:rsid w:val="00150782"/>
    <w:rsid w:val="00152955"/>
    <w:rsid w:val="00153933"/>
    <w:rsid w:val="0015627A"/>
    <w:rsid w:val="00156281"/>
    <w:rsid w:val="00156B7C"/>
    <w:rsid w:val="00156F1D"/>
    <w:rsid w:val="001617BD"/>
    <w:rsid w:val="00164CC6"/>
    <w:rsid w:val="001660CB"/>
    <w:rsid w:val="0017148A"/>
    <w:rsid w:val="001729E4"/>
    <w:rsid w:val="001737AD"/>
    <w:rsid w:val="00173DA5"/>
    <w:rsid w:val="001757AA"/>
    <w:rsid w:val="00175BF2"/>
    <w:rsid w:val="00177F95"/>
    <w:rsid w:val="00181E66"/>
    <w:rsid w:val="00182EFE"/>
    <w:rsid w:val="00182F02"/>
    <w:rsid w:val="00183402"/>
    <w:rsid w:val="00183D33"/>
    <w:rsid w:val="001840D2"/>
    <w:rsid w:val="001854AD"/>
    <w:rsid w:val="0018560B"/>
    <w:rsid w:val="001902EE"/>
    <w:rsid w:val="0019085B"/>
    <w:rsid w:val="00191901"/>
    <w:rsid w:val="00191C4D"/>
    <w:rsid w:val="001926C5"/>
    <w:rsid w:val="00193934"/>
    <w:rsid w:val="00195BF8"/>
    <w:rsid w:val="001966D7"/>
    <w:rsid w:val="001A2C9A"/>
    <w:rsid w:val="001A2F69"/>
    <w:rsid w:val="001A637F"/>
    <w:rsid w:val="001A7F3D"/>
    <w:rsid w:val="001B10B1"/>
    <w:rsid w:val="001B18EA"/>
    <w:rsid w:val="001B2510"/>
    <w:rsid w:val="001B35A1"/>
    <w:rsid w:val="001B5724"/>
    <w:rsid w:val="001B7156"/>
    <w:rsid w:val="001C12CD"/>
    <w:rsid w:val="001C327B"/>
    <w:rsid w:val="001C41F0"/>
    <w:rsid w:val="001C46E8"/>
    <w:rsid w:val="001C4D2E"/>
    <w:rsid w:val="001C6088"/>
    <w:rsid w:val="001C64C0"/>
    <w:rsid w:val="001C704C"/>
    <w:rsid w:val="001C7E35"/>
    <w:rsid w:val="001D3FF3"/>
    <w:rsid w:val="001D4F7A"/>
    <w:rsid w:val="001E03A9"/>
    <w:rsid w:val="001E2C27"/>
    <w:rsid w:val="001E2D71"/>
    <w:rsid w:val="001E3C06"/>
    <w:rsid w:val="001E3FB6"/>
    <w:rsid w:val="001E4B42"/>
    <w:rsid w:val="001E726C"/>
    <w:rsid w:val="001E7B76"/>
    <w:rsid w:val="001F0054"/>
    <w:rsid w:val="001F0BE9"/>
    <w:rsid w:val="001F1E67"/>
    <w:rsid w:val="001F3203"/>
    <w:rsid w:val="001F5154"/>
    <w:rsid w:val="001F6159"/>
    <w:rsid w:val="001F66A0"/>
    <w:rsid w:val="001F6A05"/>
    <w:rsid w:val="001F7C04"/>
    <w:rsid w:val="00202B1C"/>
    <w:rsid w:val="00202D79"/>
    <w:rsid w:val="00205D2F"/>
    <w:rsid w:val="00206183"/>
    <w:rsid w:val="002066FD"/>
    <w:rsid w:val="0020754A"/>
    <w:rsid w:val="00207F48"/>
    <w:rsid w:val="002102D9"/>
    <w:rsid w:val="0021139A"/>
    <w:rsid w:val="0021334B"/>
    <w:rsid w:val="00214C87"/>
    <w:rsid w:val="00215E8F"/>
    <w:rsid w:val="00215FF0"/>
    <w:rsid w:val="0021777C"/>
    <w:rsid w:val="00220F2C"/>
    <w:rsid w:val="00221287"/>
    <w:rsid w:val="00221EBE"/>
    <w:rsid w:val="00222566"/>
    <w:rsid w:val="00222641"/>
    <w:rsid w:val="00223526"/>
    <w:rsid w:val="00226873"/>
    <w:rsid w:val="0022766E"/>
    <w:rsid w:val="002310F3"/>
    <w:rsid w:val="00232636"/>
    <w:rsid w:val="00235588"/>
    <w:rsid w:val="00235888"/>
    <w:rsid w:val="002410B2"/>
    <w:rsid w:val="00245948"/>
    <w:rsid w:val="002460D0"/>
    <w:rsid w:val="00247CA6"/>
    <w:rsid w:val="00250C20"/>
    <w:rsid w:val="00252876"/>
    <w:rsid w:val="00252E7B"/>
    <w:rsid w:val="002548D1"/>
    <w:rsid w:val="002600E9"/>
    <w:rsid w:val="00261BEE"/>
    <w:rsid w:val="00262389"/>
    <w:rsid w:val="0026276E"/>
    <w:rsid w:val="0026369E"/>
    <w:rsid w:val="0026742C"/>
    <w:rsid w:val="002700B2"/>
    <w:rsid w:val="00270959"/>
    <w:rsid w:val="002723EE"/>
    <w:rsid w:val="00272BA1"/>
    <w:rsid w:val="002738A7"/>
    <w:rsid w:val="00273E4F"/>
    <w:rsid w:val="00274195"/>
    <w:rsid w:val="00274560"/>
    <w:rsid w:val="00275339"/>
    <w:rsid w:val="00277490"/>
    <w:rsid w:val="002774F4"/>
    <w:rsid w:val="00277F3C"/>
    <w:rsid w:val="0028019B"/>
    <w:rsid w:val="002807EE"/>
    <w:rsid w:val="00282502"/>
    <w:rsid w:val="0028316A"/>
    <w:rsid w:val="00287B24"/>
    <w:rsid w:val="0029065A"/>
    <w:rsid w:val="00290F93"/>
    <w:rsid w:val="0029131B"/>
    <w:rsid w:val="00292687"/>
    <w:rsid w:val="00292A6D"/>
    <w:rsid w:val="0029474D"/>
    <w:rsid w:val="002962D7"/>
    <w:rsid w:val="002A03E0"/>
    <w:rsid w:val="002A05F4"/>
    <w:rsid w:val="002A07BC"/>
    <w:rsid w:val="002A27C0"/>
    <w:rsid w:val="002A2E47"/>
    <w:rsid w:val="002A3389"/>
    <w:rsid w:val="002A6274"/>
    <w:rsid w:val="002B11DD"/>
    <w:rsid w:val="002B29B6"/>
    <w:rsid w:val="002B2CBE"/>
    <w:rsid w:val="002B2F92"/>
    <w:rsid w:val="002B53D9"/>
    <w:rsid w:val="002B54A6"/>
    <w:rsid w:val="002B55CB"/>
    <w:rsid w:val="002B6ADB"/>
    <w:rsid w:val="002B767B"/>
    <w:rsid w:val="002B7B42"/>
    <w:rsid w:val="002C05D1"/>
    <w:rsid w:val="002C1AC5"/>
    <w:rsid w:val="002C2BF0"/>
    <w:rsid w:val="002C36A3"/>
    <w:rsid w:val="002C3AEC"/>
    <w:rsid w:val="002C4256"/>
    <w:rsid w:val="002C463F"/>
    <w:rsid w:val="002C50A2"/>
    <w:rsid w:val="002C5A31"/>
    <w:rsid w:val="002C66C9"/>
    <w:rsid w:val="002C672F"/>
    <w:rsid w:val="002C67F2"/>
    <w:rsid w:val="002D1517"/>
    <w:rsid w:val="002D26F8"/>
    <w:rsid w:val="002D407C"/>
    <w:rsid w:val="002E02D3"/>
    <w:rsid w:val="002E14DC"/>
    <w:rsid w:val="002E2CEA"/>
    <w:rsid w:val="002E4BE3"/>
    <w:rsid w:val="002E5AF5"/>
    <w:rsid w:val="002E7F35"/>
    <w:rsid w:val="002F019A"/>
    <w:rsid w:val="002F3BA1"/>
    <w:rsid w:val="002F3EE9"/>
    <w:rsid w:val="002F46B7"/>
    <w:rsid w:val="002F6A03"/>
    <w:rsid w:val="002F7D59"/>
    <w:rsid w:val="0030045F"/>
    <w:rsid w:val="00300486"/>
    <w:rsid w:val="00302CD3"/>
    <w:rsid w:val="0031019C"/>
    <w:rsid w:val="0031185B"/>
    <w:rsid w:val="003158E5"/>
    <w:rsid w:val="0031658B"/>
    <w:rsid w:val="00317119"/>
    <w:rsid w:val="003171B9"/>
    <w:rsid w:val="00317314"/>
    <w:rsid w:val="00321915"/>
    <w:rsid w:val="0032259C"/>
    <w:rsid w:val="00322879"/>
    <w:rsid w:val="00323377"/>
    <w:rsid w:val="0032360F"/>
    <w:rsid w:val="0032395C"/>
    <w:rsid w:val="0032550B"/>
    <w:rsid w:val="00326163"/>
    <w:rsid w:val="00326721"/>
    <w:rsid w:val="003311B8"/>
    <w:rsid w:val="0033256D"/>
    <w:rsid w:val="003338E7"/>
    <w:rsid w:val="00333BD7"/>
    <w:rsid w:val="00333FAA"/>
    <w:rsid w:val="003355D7"/>
    <w:rsid w:val="00337B3A"/>
    <w:rsid w:val="003410B7"/>
    <w:rsid w:val="0034597F"/>
    <w:rsid w:val="00350F07"/>
    <w:rsid w:val="00351735"/>
    <w:rsid w:val="00352721"/>
    <w:rsid w:val="0035272C"/>
    <w:rsid w:val="003532CD"/>
    <w:rsid w:val="00354BAA"/>
    <w:rsid w:val="0036036E"/>
    <w:rsid w:val="003612D5"/>
    <w:rsid w:val="00361B43"/>
    <w:rsid w:val="0036201C"/>
    <w:rsid w:val="0036285A"/>
    <w:rsid w:val="00363AAE"/>
    <w:rsid w:val="00364570"/>
    <w:rsid w:val="003728EE"/>
    <w:rsid w:val="00373FD7"/>
    <w:rsid w:val="00374868"/>
    <w:rsid w:val="00374CD5"/>
    <w:rsid w:val="00374CD9"/>
    <w:rsid w:val="00375004"/>
    <w:rsid w:val="003767A0"/>
    <w:rsid w:val="003773AF"/>
    <w:rsid w:val="003800E7"/>
    <w:rsid w:val="00381232"/>
    <w:rsid w:val="00381603"/>
    <w:rsid w:val="00385924"/>
    <w:rsid w:val="00385FB2"/>
    <w:rsid w:val="00391685"/>
    <w:rsid w:val="0039230A"/>
    <w:rsid w:val="0039329E"/>
    <w:rsid w:val="0039347D"/>
    <w:rsid w:val="00395F18"/>
    <w:rsid w:val="00396067"/>
    <w:rsid w:val="0039654F"/>
    <w:rsid w:val="003A1CD0"/>
    <w:rsid w:val="003A32C2"/>
    <w:rsid w:val="003A3B33"/>
    <w:rsid w:val="003A42A0"/>
    <w:rsid w:val="003A7C33"/>
    <w:rsid w:val="003B0715"/>
    <w:rsid w:val="003B0945"/>
    <w:rsid w:val="003B20DC"/>
    <w:rsid w:val="003B39DA"/>
    <w:rsid w:val="003B4D84"/>
    <w:rsid w:val="003B7564"/>
    <w:rsid w:val="003B7581"/>
    <w:rsid w:val="003B7934"/>
    <w:rsid w:val="003B7AF8"/>
    <w:rsid w:val="003C0274"/>
    <w:rsid w:val="003C0668"/>
    <w:rsid w:val="003C0934"/>
    <w:rsid w:val="003C2B48"/>
    <w:rsid w:val="003C2EB7"/>
    <w:rsid w:val="003C565A"/>
    <w:rsid w:val="003C6803"/>
    <w:rsid w:val="003D2CC8"/>
    <w:rsid w:val="003D3BE2"/>
    <w:rsid w:val="003D460D"/>
    <w:rsid w:val="003D482A"/>
    <w:rsid w:val="003D61E1"/>
    <w:rsid w:val="003D6C5E"/>
    <w:rsid w:val="003D73B6"/>
    <w:rsid w:val="003E0B7C"/>
    <w:rsid w:val="003E0DBB"/>
    <w:rsid w:val="003E3DD7"/>
    <w:rsid w:val="003E4312"/>
    <w:rsid w:val="003E4584"/>
    <w:rsid w:val="003E5B92"/>
    <w:rsid w:val="003E679C"/>
    <w:rsid w:val="003E6EAA"/>
    <w:rsid w:val="003F0DB6"/>
    <w:rsid w:val="003F2D68"/>
    <w:rsid w:val="003F47B4"/>
    <w:rsid w:val="003F5751"/>
    <w:rsid w:val="003F58EF"/>
    <w:rsid w:val="003F5E2F"/>
    <w:rsid w:val="004032B3"/>
    <w:rsid w:val="004034F2"/>
    <w:rsid w:val="00403666"/>
    <w:rsid w:val="0040415A"/>
    <w:rsid w:val="004049E4"/>
    <w:rsid w:val="00404B4F"/>
    <w:rsid w:val="00404FAB"/>
    <w:rsid w:val="004076C8"/>
    <w:rsid w:val="0041077E"/>
    <w:rsid w:val="00410E11"/>
    <w:rsid w:val="00410EE1"/>
    <w:rsid w:val="004113D1"/>
    <w:rsid w:val="00411ADC"/>
    <w:rsid w:val="004122E8"/>
    <w:rsid w:val="0041380A"/>
    <w:rsid w:val="00416FB3"/>
    <w:rsid w:val="00417C41"/>
    <w:rsid w:val="00421A4C"/>
    <w:rsid w:val="00422246"/>
    <w:rsid w:val="0042378A"/>
    <w:rsid w:val="00423E1E"/>
    <w:rsid w:val="0042411C"/>
    <w:rsid w:val="00424E6A"/>
    <w:rsid w:val="00431404"/>
    <w:rsid w:val="004333E4"/>
    <w:rsid w:val="004363F7"/>
    <w:rsid w:val="00440125"/>
    <w:rsid w:val="00440EBF"/>
    <w:rsid w:val="00442041"/>
    <w:rsid w:val="00442337"/>
    <w:rsid w:val="0044386A"/>
    <w:rsid w:val="00444185"/>
    <w:rsid w:val="00450B60"/>
    <w:rsid w:val="004528FB"/>
    <w:rsid w:val="00453541"/>
    <w:rsid w:val="00453988"/>
    <w:rsid w:val="00455115"/>
    <w:rsid w:val="004566B3"/>
    <w:rsid w:val="004577FE"/>
    <w:rsid w:val="0046177B"/>
    <w:rsid w:val="00462020"/>
    <w:rsid w:val="0046460C"/>
    <w:rsid w:val="00470D2D"/>
    <w:rsid w:val="00471C1F"/>
    <w:rsid w:val="00474414"/>
    <w:rsid w:val="004751D8"/>
    <w:rsid w:val="004821B5"/>
    <w:rsid w:val="00482D50"/>
    <w:rsid w:val="00485B91"/>
    <w:rsid w:val="0048704A"/>
    <w:rsid w:val="00487842"/>
    <w:rsid w:val="004902A6"/>
    <w:rsid w:val="0049066C"/>
    <w:rsid w:val="004922C6"/>
    <w:rsid w:val="00493E11"/>
    <w:rsid w:val="00494AF7"/>
    <w:rsid w:val="004A24EE"/>
    <w:rsid w:val="004A2B66"/>
    <w:rsid w:val="004A3953"/>
    <w:rsid w:val="004A3AE4"/>
    <w:rsid w:val="004A47D9"/>
    <w:rsid w:val="004A52E8"/>
    <w:rsid w:val="004B1F90"/>
    <w:rsid w:val="004B3306"/>
    <w:rsid w:val="004C134F"/>
    <w:rsid w:val="004C448D"/>
    <w:rsid w:val="004C4B5E"/>
    <w:rsid w:val="004C5118"/>
    <w:rsid w:val="004C54F6"/>
    <w:rsid w:val="004C6220"/>
    <w:rsid w:val="004C6495"/>
    <w:rsid w:val="004C6B6C"/>
    <w:rsid w:val="004D2DA0"/>
    <w:rsid w:val="004D382E"/>
    <w:rsid w:val="004D572C"/>
    <w:rsid w:val="004D6EBB"/>
    <w:rsid w:val="004E14A4"/>
    <w:rsid w:val="004E52B3"/>
    <w:rsid w:val="004E65F1"/>
    <w:rsid w:val="004E7C68"/>
    <w:rsid w:val="004F00BD"/>
    <w:rsid w:val="004F46E4"/>
    <w:rsid w:val="004F4E88"/>
    <w:rsid w:val="004F7602"/>
    <w:rsid w:val="00500764"/>
    <w:rsid w:val="00502B69"/>
    <w:rsid w:val="005031DE"/>
    <w:rsid w:val="00503705"/>
    <w:rsid w:val="00503DD6"/>
    <w:rsid w:val="005063FB"/>
    <w:rsid w:val="00513881"/>
    <w:rsid w:val="00515238"/>
    <w:rsid w:val="005155C8"/>
    <w:rsid w:val="00515CBD"/>
    <w:rsid w:val="00516F96"/>
    <w:rsid w:val="0052025C"/>
    <w:rsid w:val="0052035E"/>
    <w:rsid w:val="00520D2A"/>
    <w:rsid w:val="00521915"/>
    <w:rsid w:val="005248B1"/>
    <w:rsid w:val="00525353"/>
    <w:rsid w:val="005255D6"/>
    <w:rsid w:val="00525D83"/>
    <w:rsid w:val="00525E8F"/>
    <w:rsid w:val="005300D0"/>
    <w:rsid w:val="00530439"/>
    <w:rsid w:val="005308D0"/>
    <w:rsid w:val="00530E7B"/>
    <w:rsid w:val="00530EFA"/>
    <w:rsid w:val="00530FB2"/>
    <w:rsid w:val="00531BC8"/>
    <w:rsid w:val="005330B4"/>
    <w:rsid w:val="00533EC2"/>
    <w:rsid w:val="005350A2"/>
    <w:rsid w:val="005354D0"/>
    <w:rsid w:val="005359A0"/>
    <w:rsid w:val="0053638B"/>
    <w:rsid w:val="0053726E"/>
    <w:rsid w:val="0053760A"/>
    <w:rsid w:val="005378F7"/>
    <w:rsid w:val="00537F3C"/>
    <w:rsid w:val="00543AB2"/>
    <w:rsid w:val="00544298"/>
    <w:rsid w:val="00544CAD"/>
    <w:rsid w:val="0054527B"/>
    <w:rsid w:val="0054590F"/>
    <w:rsid w:val="00546FB8"/>
    <w:rsid w:val="00550458"/>
    <w:rsid w:val="005534E4"/>
    <w:rsid w:val="00553BE5"/>
    <w:rsid w:val="00556CC9"/>
    <w:rsid w:val="00560CCD"/>
    <w:rsid w:val="00561EE2"/>
    <w:rsid w:val="00562CC6"/>
    <w:rsid w:val="0056353C"/>
    <w:rsid w:val="00563CDA"/>
    <w:rsid w:val="00564FB0"/>
    <w:rsid w:val="00565B27"/>
    <w:rsid w:val="00565E95"/>
    <w:rsid w:val="00565FBC"/>
    <w:rsid w:val="005661F5"/>
    <w:rsid w:val="0056672E"/>
    <w:rsid w:val="00570826"/>
    <w:rsid w:val="005718B5"/>
    <w:rsid w:val="00571B53"/>
    <w:rsid w:val="00576746"/>
    <w:rsid w:val="00577A02"/>
    <w:rsid w:val="005808FB"/>
    <w:rsid w:val="005813FE"/>
    <w:rsid w:val="00586F20"/>
    <w:rsid w:val="00587B0D"/>
    <w:rsid w:val="0059016D"/>
    <w:rsid w:val="005918B7"/>
    <w:rsid w:val="005922D5"/>
    <w:rsid w:val="0059320F"/>
    <w:rsid w:val="00594CCD"/>
    <w:rsid w:val="00595104"/>
    <w:rsid w:val="00596736"/>
    <w:rsid w:val="005A0162"/>
    <w:rsid w:val="005A04AE"/>
    <w:rsid w:val="005A34DF"/>
    <w:rsid w:val="005A6DF0"/>
    <w:rsid w:val="005B13A9"/>
    <w:rsid w:val="005B1AE1"/>
    <w:rsid w:val="005B2EE6"/>
    <w:rsid w:val="005B3F67"/>
    <w:rsid w:val="005B4870"/>
    <w:rsid w:val="005B60FD"/>
    <w:rsid w:val="005B671D"/>
    <w:rsid w:val="005B78F9"/>
    <w:rsid w:val="005C03A0"/>
    <w:rsid w:val="005C1DC0"/>
    <w:rsid w:val="005C30AC"/>
    <w:rsid w:val="005C4733"/>
    <w:rsid w:val="005C4CB8"/>
    <w:rsid w:val="005C4DBD"/>
    <w:rsid w:val="005D0C5B"/>
    <w:rsid w:val="005D1119"/>
    <w:rsid w:val="005D14A7"/>
    <w:rsid w:val="005D2E4A"/>
    <w:rsid w:val="005D5AF0"/>
    <w:rsid w:val="005D6157"/>
    <w:rsid w:val="005D6791"/>
    <w:rsid w:val="005D6EF5"/>
    <w:rsid w:val="005D7C56"/>
    <w:rsid w:val="005E0018"/>
    <w:rsid w:val="005E0AD9"/>
    <w:rsid w:val="005E0EC3"/>
    <w:rsid w:val="005E3A10"/>
    <w:rsid w:val="005E40A0"/>
    <w:rsid w:val="005E426A"/>
    <w:rsid w:val="005E44E4"/>
    <w:rsid w:val="005E4674"/>
    <w:rsid w:val="005E4706"/>
    <w:rsid w:val="005E5522"/>
    <w:rsid w:val="005E553E"/>
    <w:rsid w:val="005E6295"/>
    <w:rsid w:val="005E7509"/>
    <w:rsid w:val="005E76F9"/>
    <w:rsid w:val="005F3067"/>
    <w:rsid w:val="005F30E5"/>
    <w:rsid w:val="005F3293"/>
    <w:rsid w:val="005F3757"/>
    <w:rsid w:val="005F5F06"/>
    <w:rsid w:val="005F6817"/>
    <w:rsid w:val="00600637"/>
    <w:rsid w:val="00603642"/>
    <w:rsid w:val="00603DCC"/>
    <w:rsid w:val="00605943"/>
    <w:rsid w:val="006069BA"/>
    <w:rsid w:val="0061014B"/>
    <w:rsid w:val="006107B2"/>
    <w:rsid w:val="00611E90"/>
    <w:rsid w:val="00612BC3"/>
    <w:rsid w:val="00615AE4"/>
    <w:rsid w:val="00617488"/>
    <w:rsid w:val="0062007D"/>
    <w:rsid w:val="006222A2"/>
    <w:rsid w:val="00623A99"/>
    <w:rsid w:val="00623CF8"/>
    <w:rsid w:val="006240E1"/>
    <w:rsid w:val="006242AB"/>
    <w:rsid w:val="0062479E"/>
    <w:rsid w:val="00625425"/>
    <w:rsid w:val="00625D1B"/>
    <w:rsid w:val="00627173"/>
    <w:rsid w:val="00630A2C"/>
    <w:rsid w:val="00633E7A"/>
    <w:rsid w:val="006340F5"/>
    <w:rsid w:val="006344AC"/>
    <w:rsid w:val="0063497E"/>
    <w:rsid w:val="00634C95"/>
    <w:rsid w:val="00635E84"/>
    <w:rsid w:val="0063706E"/>
    <w:rsid w:val="006379E1"/>
    <w:rsid w:val="00637B72"/>
    <w:rsid w:val="0064222B"/>
    <w:rsid w:val="00642A4B"/>
    <w:rsid w:val="00642FE5"/>
    <w:rsid w:val="006433BA"/>
    <w:rsid w:val="006525B9"/>
    <w:rsid w:val="0065358C"/>
    <w:rsid w:val="0065397E"/>
    <w:rsid w:val="00654FA2"/>
    <w:rsid w:val="00655044"/>
    <w:rsid w:val="006550F5"/>
    <w:rsid w:val="00655C29"/>
    <w:rsid w:val="00660E65"/>
    <w:rsid w:val="00661E25"/>
    <w:rsid w:val="0066304B"/>
    <w:rsid w:val="006633C7"/>
    <w:rsid w:val="006633CE"/>
    <w:rsid w:val="0066422F"/>
    <w:rsid w:val="00664E4E"/>
    <w:rsid w:val="00666AFB"/>
    <w:rsid w:val="0067045D"/>
    <w:rsid w:val="00670F17"/>
    <w:rsid w:val="00673E50"/>
    <w:rsid w:val="0067437D"/>
    <w:rsid w:val="00677491"/>
    <w:rsid w:val="00677C22"/>
    <w:rsid w:val="00681DD0"/>
    <w:rsid w:val="0068735C"/>
    <w:rsid w:val="00687923"/>
    <w:rsid w:val="006909EA"/>
    <w:rsid w:val="00690DE0"/>
    <w:rsid w:val="00691A04"/>
    <w:rsid w:val="00694504"/>
    <w:rsid w:val="00694D65"/>
    <w:rsid w:val="006963B9"/>
    <w:rsid w:val="00696A83"/>
    <w:rsid w:val="00696FE7"/>
    <w:rsid w:val="00697361"/>
    <w:rsid w:val="006A03BE"/>
    <w:rsid w:val="006A0DA8"/>
    <w:rsid w:val="006A0E09"/>
    <w:rsid w:val="006A19EC"/>
    <w:rsid w:val="006A317B"/>
    <w:rsid w:val="006A3A7A"/>
    <w:rsid w:val="006A3AF7"/>
    <w:rsid w:val="006A4ADD"/>
    <w:rsid w:val="006A5A1F"/>
    <w:rsid w:val="006A6FB1"/>
    <w:rsid w:val="006A74EC"/>
    <w:rsid w:val="006A77FE"/>
    <w:rsid w:val="006B0E8F"/>
    <w:rsid w:val="006B1A1C"/>
    <w:rsid w:val="006B58A7"/>
    <w:rsid w:val="006B7DA6"/>
    <w:rsid w:val="006C1998"/>
    <w:rsid w:val="006C2029"/>
    <w:rsid w:val="006C2CBB"/>
    <w:rsid w:val="006C3281"/>
    <w:rsid w:val="006C5594"/>
    <w:rsid w:val="006C5EFC"/>
    <w:rsid w:val="006D09BE"/>
    <w:rsid w:val="006D10D2"/>
    <w:rsid w:val="006D2493"/>
    <w:rsid w:val="006D2CA4"/>
    <w:rsid w:val="006D3696"/>
    <w:rsid w:val="006D5C47"/>
    <w:rsid w:val="006D7595"/>
    <w:rsid w:val="006E19E9"/>
    <w:rsid w:val="006E1CAF"/>
    <w:rsid w:val="006E46D0"/>
    <w:rsid w:val="006E558F"/>
    <w:rsid w:val="006E63A7"/>
    <w:rsid w:val="006E6FA2"/>
    <w:rsid w:val="006F057C"/>
    <w:rsid w:val="006F22DA"/>
    <w:rsid w:val="006F278D"/>
    <w:rsid w:val="006F2EB3"/>
    <w:rsid w:val="006F382F"/>
    <w:rsid w:val="006F3C68"/>
    <w:rsid w:val="006F72C6"/>
    <w:rsid w:val="007018B5"/>
    <w:rsid w:val="0070209A"/>
    <w:rsid w:val="00702C8A"/>
    <w:rsid w:val="007031A1"/>
    <w:rsid w:val="00703881"/>
    <w:rsid w:val="00704090"/>
    <w:rsid w:val="00707DC4"/>
    <w:rsid w:val="007138C6"/>
    <w:rsid w:val="00714BEE"/>
    <w:rsid w:val="00715E68"/>
    <w:rsid w:val="00716449"/>
    <w:rsid w:val="00717FA9"/>
    <w:rsid w:val="00720057"/>
    <w:rsid w:val="00721215"/>
    <w:rsid w:val="00721524"/>
    <w:rsid w:val="00723439"/>
    <w:rsid w:val="00723B7F"/>
    <w:rsid w:val="00726707"/>
    <w:rsid w:val="007267D1"/>
    <w:rsid w:val="0073094C"/>
    <w:rsid w:val="00731BEE"/>
    <w:rsid w:val="00741AEB"/>
    <w:rsid w:val="00742521"/>
    <w:rsid w:val="00742D55"/>
    <w:rsid w:val="00743A86"/>
    <w:rsid w:val="00745CEB"/>
    <w:rsid w:val="00746475"/>
    <w:rsid w:val="007475D5"/>
    <w:rsid w:val="007505D5"/>
    <w:rsid w:val="00751215"/>
    <w:rsid w:val="0075278D"/>
    <w:rsid w:val="00754A97"/>
    <w:rsid w:val="00754F76"/>
    <w:rsid w:val="00755442"/>
    <w:rsid w:val="007573C2"/>
    <w:rsid w:val="007575DD"/>
    <w:rsid w:val="00757FEA"/>
    <w:rsid w:val="00760D1F"/>
    <w:rsid w:val="00761C02"/>
    <w:rsid w:val="007635E6"/>
    <w:rsid w:val="00765B9D"/>
    <w:rsid w:val="00771AC9"/>
    <w:rsid w:val="0077599C"/>
    <w:rsid w:val="00776803"/>
    <w:rsid w:val="0077788D"/>
    <w:rsid w:val="00777CCB"/>
    <w:rsid w:val="00782A49"/>
    <w:rsid w:val="00784BC8"/>
    <w:rsid w:val="00785D40"/>
    <w:rsid w:val="00790694"/>
    <w:rsid w:val="00791192"/>
    <w:rsid w:val="0079266E"/>
    <w:rsid w:val="00792B21"/>
    <w:rsid w:val="0079338C"/>
    <w:rsid w:val="0079572B"/>
    <w:rsid w:val="00797818"/>
    <w:rsid w:val="00797973"/>
    <w:rsid w:val="007A2234"/>
    <w:rsid w:val="007A39BA"/>
    <w:rsid w:val="007A5EAC"/>
    <w:rsid w:val="007A7003"/>
    <w:rsid w:val="007A771B"/>
    <w:rsid w:val="007B033B"/>
    <w:rsid w:val="007B21A2"/>
    <w:rsid w:val="007B23FC"/>
    <w:rsid w:val="007B64C2"/>
    <w:rsid w:val="007B7826"/>
    <w:rsid w:val="007C4B86"/>
    <w:rsid w:val="007C4E79"/>
    <w:rsid w:val="007D0C1D"/>
    <w:rsid w:val="007D1D99"/>
    <w:rsid w:val="007D20C7"/>
    <w:rsid w:val="007D27B7"/>
    <w:rsid w:val="007D291B"/>
    <w:rsid w:val="007D338D"/>
    <w:rsid w:val="007D49A3"/>
    <w:rsid w:val="007D4DBF"/>
    <w:rsid w:val="007E02C9"/>
    <w:rsid w:val="007E21E1"/>
    <w:rsid w:val="007E2BC4"/>
    <w:rsid w:val="007E2E17"/>
    <w:rsid w:val="007E4580"/>
    <w:rsid w:val="007E4732"/>
    <w:rsid w:val="007E4FBF"/>
    <w:rsid w:val="007E5AE7"/>
    <w:rsid w:val="007E71BD"/>
    <w:rsid w:val="007E751D"/>
    <w:rsid w:val="007F004E"/>
    <w:rsid w:val="007F166D"/>
    <w:rsid w:val="007F275B"/>
    <w:rsid w:val="007F3FCE"/>
    <w:rsid w:val="007F43DF"/>
    <w:rsid w:val="007F454B"/>
    <w:rsid w:val="007F4E61"/>
    <w:rsid w:val="007F7B31"/>
    <w:rsid w:val="008009C5"/>
    <w:rsid w:val="00800D19"/>
    <w:rsid w:val="00801910"/>
    <w:rsid w:val="00801D35"/>
    <w:rsid w:val="00803730"/>
    <w:rsid w:val="008076EC"/>
    <w:rsid w:val="0081219E"/>
    <w:rsid w:val="00812901"/>
    <w:rsid w:val="00813BB0"/>
    <w:rsid w:val="008157BA"/>
    <w:rsid w:val="00816135"/>
    <w:rsid w:val="0081697F"/>
    <w:rsid w:val="008203D5"/>
    <w:rsid w:val="00820F6B"/>
    <w:rsid w:val="0082124E"/>
    <w:rsid w:val="00821970"/>
    <w:rsid w:val="00822A41"/>
    <w:rsid w:val="00822C7C"/>
    <w:rsid w:val="00822F16"/>
    <w:rsid w:val="00824451"/>
    <w:rsid w:val="00824C92"/>
    <w:rsid w:val="00824F94"/>
    <w:rsid w:val="00825FE0"/>
    <w:rsid w:val="00826795"/>
    <w:rsid w:val="00826B9A"/>
    <w:rsid w:val="00827664"/>
    <w:rsid w:val="00827E32"/>
    <w:rsid w:val="00831358"/>
    <w:rsid w:val="0083326E"/>
    <w:rsid w:val="008343D1"/>
    <w:rsid w:val="00834936"/>
    <w:rsid w:val="0083505D"/>
    <w:rsid w:val="00835EA0"/>
    <w:rsid w:val="00836521"/>
    <w:rsid w:val="00837AE7"/>
    <w:rsid w:val="00837EC2"/>
    <w:rsid w:val="00837FD6"/>
    <w:rsid w:val="008442CB"/>
    <w:rsid w:val="00846493"/>
    <w:rsid w:val="00850216"/>
    <w:rsid w:val="00852428"/>
    <w:rsid w:val="008544F4"/>
    <w:rsid w:val="00855CBB"/>
    <w:rsid w:val="00856840"/>
    <w:rsid w:val="00856D3F"/>
    <w:rsid w:val="0085727D"/>
    <w:rsid w:val="00860227"/>
    <w:rsid w:val="00860B72"/>
    <w:rsid w:val="00861291"/>
    <w:rsid w:val="008615DF"/>
    <w:rsid w:val="00864530"/>
    <w:rsid w:val="0086722E"/>
    <w:rsid w:val="00867776"/>
    <w:rsid w:val="008717CF"/>
    <w:rsid w:val="00872505"/>
    <w:rsid w:val="008753CD"/>
    <w:rsid w:val="008755A3"/>
    <w:rsid w:val="00880BB3"/>
    <w:rsid w:val="008815D5"/>
    <w:rsid w:val="00881710"/>
    <w:rsid w:val="00885435"/>
    <w:rsid w:val="00891E0A"/>
    <w:rsid w:val="00892ABA"/>
    <w:rsid w:val="008935E3"/>
    <w:rsid w:val="008939BE"/>
    <w:rsid w:val="00893D20"/>
    <w:rsid w:val="00894B07"/>
    <w:rsid w:val="00894C92"/>
    <w:rsid w:val="00895228"/>
    <w:rsid w:val="008957C2"/>
    <w:rsid w:val="00896190"/>
    <w:rsid w:val="00897AE1"/>
    <w:rsid w:val="00897D54"/>
    <w:rsid w:val="008A0032"/>
    <w:rsid w:val="008A1CA5"/>
    <w:rsid w:val="008A4A38"/>
    <w:rsid w:val="008A677D"/>
    <w:rsid w:val="008A73C4"/>
    <w:rsid w:val="008B25B2"/>
    <w:rsid w:val="008B3424"/>
    <w:rsid w:val="008B4ED0"/>
    <w:rsid w:val="008B678B"/>
    <w:rsid w:val="008C006C"/>
    <w:rsid w:val="008C0CCD"/>
    <w:rsid w:val="008C179D"/>
    <w:rsid w:val="008D0276"/>
    <w:rsid w:val="008D06CF"/>
    <w:rsid w:val="008D213B"/>
    <w:rsid w:val="008D3348"/>
    <w:rsid w:val="008D40B0"/>
    <w:rsid w:val="008D4240"/>
    <w:rsid w:val="008D4ADA"/>
    <w:rsid w:val="008D540C"/>
    <w:rsid w:val="008D5C78"/>
    <w:rsid w:val="008D67D6"/>
    <w:rsid w:val="008E1C20"/>
    <w:rsid w:val="008E2188"/>
    <w:rsid w:val="008E224D"/>
    <w:rsid w:val="008E2A4B"/>
    <w:rsid w:val="008E3EF8"/>
    <w:rsid w:val="008E4AE1"/>
    <w:rsid w:val="008E65F4"/>
    <w:rsid w:val="008F099E"/>
    <w:rsid w:val="008F100D"/>
    <w:rsid w:val="008F1D65"/>
    <w:rsid w:val="008F21C7"/>
    <w:rsid w:val="008F233C"/>
    <w:rsid w:val="008F4674"/>
    <w:rsid w:val="008F511F"/>
    <w:rsid w:val="008F7767"/>
    <w:rsid w:val="009030E4"/>
    <w:rsid w:val="0090344B"/>
    <w:rsid w:val="00903C1B"/>
    <w:rsid w:val="009058F2"/>
    <w:rsid w:val="00907203"/>
    <w:rsid w:val="009102CE"/>
    <w:rsid w:val="00910D0D"/>
    <w:rsid w:val="00920AC4"/>
    <w:rsid w:val="00921D48"/>
    <w:rsid w:val="009232E6"/>
    <w:rsid w:val="0092362F"/>
    <w:rsid w:val="0092471F"/>
    <w:rsid w:val="0092620D"/>
    <w:rsid w:val="009301E1"/>
    <w:rsid w:val="00931CB5"/>
    <w:rsid w:val="00931EBA"/>
    <w:rsid w:val="009330DC"/>
    <w:rsid w:val="00933D6D"/>
    <w:rsid w:val="00934BDE"/>
    <w:rsid w:val="00935F3A"/>
    <w:rsid w:val="00936547"/>
    <w:rsid w:val="00937C70"/>
    <w:rsid w:val="00945BD6"/>
    <w:rsid w:val="009464B2"/>
    <w:rsid w:val="009464CF"/>
    <w:rsid w:val="00950098"/>
    <w:rsid w:val="00950B0F"/>
    <w:rsid w:val="009518FA"/>
    <w:rsid w:val="00952604"/>
    <w:rsid w:val="00952605"/>
    <w:rsid w:val="00952A57"/>
    <w:rsid w:val="00953298"/>
    <w:rsid w:val="00953535"/>
    <w:rsid w:val="00953AB1"/>
    <w:rsid w:val="00953CD0"/>
    <w:rsid w:val="00954EF4"/>
    <w:rsid w:val="0095526E"/>
    <w:rsid w:val="00956888"/>
    <w:rsid w:val="00957198"/>
    <w:rsid w:val="00957A93"/>
    <w:rsid w:val="00957C2D"/>
    <w:rsid w:val="00961707"/>
    <w:rsid w:val="00962410"/>
    <w:rsid w:val="00962DEA"/>
    <w:rsid w:val="0096354E"/>
    <w:rsid w:val="00963DAC"/>
    <w:rsid w:val="0096570D"/>
    <w:rsid w:val="00965ABD"/>
    <w:rsid w:val="00966A35"/>
    <w:rsid w:val="00967219"/>
    <w:rsid w:val="00967408"/>
    <w:rsid w:val="009718B5"/>
    <w:rsid w:val="00972933"/>
    <w:rsid w:val="00972F70"/>
    <w:rsid w:val="00974AA7"/>
    <w:rsid w:val="00975720"/>
    <w:rsid w:val="009759D8"/>
    <w:rsid w:val="009806E7"/>
    <w:rsid w:val="00981662"/>
    <w:rsid w:val="009844BC"/>
    <w:rsid w:val="00986777"/>
    <w:rsid w:val="00987A2E"/>
    <w:rsid w:val="00987EA7"/>
    <w:rsid w:val="00990E9C"/>
    <w:rsid w:val="00991302"/>
    <w:rsid w:val="00991424"/>
    <w:rsid w:val="00992B64"/>
    <w:rsid w:val="0099329D"/>
    <w:rsid w:val="00996F05"/>
    <w:rsid w:val="00997BE2"/>
    <w:rsid w:val="009A1162"/>
    <w:rsid w:val="009A1169"/>
    <w:rsid w:val="009A1D38"/>
    <w:rsid w:val="009A3522"/>
    <w:rsid w:val="009A46AC"/>
    <w:rsid w:val="009B1429"/>
    <w:rsid w:val="009B160B"/>
    <w:rsid w:val="009B18B5"/>
    <w:rsid w:val="009B78EE"/>
    <w:rsid w:val="009C02BB"/>
    <w:rsid w:val="009C30DF"/>
    <w:rsid w:val="009C383F"/>
    <w:rsid w:val="009C512C"/>
    <w:rsid w:val="009C5F56"/>
    <w:rsid w:val="009D0A9D"/>
    <w:rsid w:val="009D1039"/>
    <w:rsid w:val="009D14C8"/>
    <w:rsid w:val="009D2E0D"/>
    <w:rsid w:val="009D392C"/>
    <w:rsid w:val="009D401D"/>
    <w:rsid w:val="009D4A01"/>
    <w:rsid w:val="009D4C10"/>
    <w:rsid w:val="009D5C35"/>
    <w:rsid w:val="009E08CE"/>
    <w:rsid w:val="009E22B0"/>
    <w:rsid w:val="009E3F49"/>
    <w:rsid w:val="009E5176"/>
    <w:rsid w:val="009E5692"/>
    <w:rsid w:val="009E5B1B"/>
    <w:rsid w:val="009E708C"/>
    <w:rsid w:val="009E7FE2"/>
    <w:rsid w:val="009F1CB6"/>
    <w:rsid w:val="009F2161"/>
    <w:rsid w:val="009F2B80"/>
    <w:rsid w:val="009F2E4F"/>
    <w:rsid w:val="009F51B9"/>
    <w:rsid w:val="009F5F40"/>
    <w:rsid w:val="00A00233"/>
    <w:rsid w:val="00A00952"/>
    <w:rsid w:val="00A00A64"/>
    <w:rsid w:val="00A00CBF"/>
    <w:rsid w:val="00A03C12"/>
    <w:rsid w:val="00A0429A"/>
    <w:rsid w:val="00A07300"/>
    <w:rsid w:val="00A10BDE"/>
    <w:rsid w:val="00A10E9C"/>
    <w:rsid w:val="00A10FA5"/>
    <w:rsid w:val="00A14F45"/>
    <w:rsid w:val="00A156F0"/>
    <w:rsid w:val="00A17813"/>
    <w:rsid w:val="00A20113"/>
    <w:rsid w:val="00A218B0"/>
    <w:rsid w:val="00A22839"/>
    <w:rsid w:val="00A229D2"/>
    <w:rsid w:val="00A2335D"/>
    <w:rsid w:val="00A23F65"/>
    <w:rsid w:val="00A272AF"/>
    <w:rsid w:val="00A31B6F"/>
    <w:rsid w:val="00A31DC0"/>
    <w:rsid w:val="00A32333"/>
    <w:rsid w:val="00A323D9"/>
    <w:rsid w:val="00A33185"/>
    <w:rsid w:val="00A33323"/>
    <w:rsid w:val="00A33D03"/>
    <w:rsid w:val="00A34F3C"/>
    <w:rsid w:val="00A35188"/>
    <w:rsid w:val="00A367E0"/>
    <w:rsid w:val="00A37054"/>
    <w:rsid w:val="00A4242B"/>
    <w:rsid w:val="00A43443"/>
    <w:rsid w:val="00A43FF5"/>
    <w:rsid w:val="00A50102"/>
    <w:rsid w:val="00A50259"/>
    <w:rsid w:val="00A50565"/>
    <w:rsid w:val="00A51DA2"/>
    <w:rsid w:val="00A52A82"/>
    <w:rsid w:val="00A52D69"/>
    <w:rsid w:val="00A53151"/>
    <w:rsid w:val="00A533C8"/>
    <w:rsid w:val="00A53B04"/>
    <w:rsid w:val="00A53BFE"/>
    <w:rsid w:val="00A54694"/>
    <w:rsid w:val="00A55425"/>
    <w:rsid w:val="00A57348"/>
    <w:rsid w:val="00A57770"/>
    <w:rsid w:val="00A64789"/>
    <w:rsid w:val="00A66B94"/>
    <w:rsid w:val="00A66EE4"/>
    <w:rsid w:val="00A712E8"/>
    <w:rsid w:val="00A72152"/>
    <w:rsid w:val="00A7271A"/>
    <w:rsid w:val="00A7359D"/>
    <w:rsid w:val="00A7379D"/>
    <w:rsid w:val="00A76D41"/>
    <w:rsid w:val="00A774A7"/>
    <w:rsid w:val="00A77B8F"/>
    <w:rsid w:val="00A81514"/>
    <w:rsid w:val="00A81CE0"/>
    <w:rsid w:val="00A83A77"/>
    <w:rsid w:val="00A83E33"/>
    <w:rsid w:val="00A85FA8"/>
    <w:rsid w:val="00A870EE"/>
    <w:rsid w:val="00A87D50"/>
    <w:rsid w:val="00A87FA4"/>
    <w:rsid w:val="00A90476"/>
    <w:rsid w:val="00A925C6"/>
    <w:rsid w:val="00A92D25"/>
    <w:rsid w:val="00A92E5B"/>
    <w:rsid w:val="00A95580"/>
    <w:rsid w:val="00A969AA"/>
    <w:rsid w:val="00AA2609"/>
    <w:rsid w:val="00AA383D"/>
    <w:rsid w:val="00AA4AD6"/>
    <w:rsid w:val="00AA5DFC"/>
    <w:rsid w:val="00AA6185"/>
    <w:rsid w:val="00AA72DB"/>
    <w:rsid w:val="00AA7F02"/>
    <w:rsid w:val="00AB4C90"/>
    <w:rsid w:val="00AB6082"/>
    <w:rsid w:val="00AB61C6"/>
    <w:rsid w:val="00AB795F"/>
    <w:rsid w:val="00AC0A97"/>
    <w:rsid w:val="00AC0BB3"/>
    <w:rsid w:val="00AC1460"/>
    <w:rsid w:val="00AC20C2"/>
    <w:rsid w:val="00AC26D4"/>
    <w:rsid w:val="00AC2BAA"/>
    <w:rsid w:val="00AC2FFE"/>
    <w:rsid w:val="00AC34B2"/>
    <w:rsid w:val="00AC3718"/>
    <w:rsid w:val="00AC41DD"/>
    <w:rsid w:val="00AC44E8"/>
    <w:rsid w:val="00AC55F8"/>
    <w:rsid w:val="00AC6312"/>
    <w:rsid w:val="00AC66C5"/>
    <w:rsid w:val="00AD0C57"/>
    <w:rsid w:val="00AD2288"/>
    <w:rsid w:val="00AD2795"/>
    <w:rsid w:val="00AD51B1"/>
    <w:rsid w:val="00AD5506"/>
    <w:rsid w:val="00AD6E03"/>
    <w:rsid w:val="00AD73E5"/>
    <w:rsid w:val="00AD7B51"/>
    <w:rsid w:val="00AE3ADC"/>
    <w:rsid w:val="00AE4D79"/>
    <w:rsid w:val="00AE517F"/>
    <w:rsid w:val="00AE5AA1"/>
    <w:rsid w:val="00AF0CA6"/>
    <w:rsid w:val="00AF1127"/>
    <w:rsid w:val="00AF135A"/>
    <w:rsid w:val="00AF2B2C"/>
    <w:rsid w:val="00AF438A"/>
    <w:rsid w:val="00AF598E"/>
    <w:rsid w:val="00AF5EBA"/>
    <w:rsid w:val="00AF641A"/>
    <w:rsid w:val="00AF6757"/>
    <w:rsid w:val="00AF6ED8"/>
    <w:rsid w:val="00AF6F1B"/>
    <w:rsid w:val="00B0165A"/>
    <w:rsid w:val="00B01AAD"/>
    <w:rsid w:val="00B05444"/>
    <w:rsid w:val="00B0628A"/>
    <w:rsid w:val="00B06904"/>
    <w:rsid w:val="00B073A3"/>
    <w:rsid w:val="00B1160D"/>
    <w:rsid w:val="00B125B1"/>
    <w:rsid w:val="00B13A91"/>
    <w:rsid w:val="00B13B65"/>
    <w:rsid w:val="00B13EAF"/>
    <w:rsid w:val="00B1405B"/>
    <w:rsid w:val="00B15848"/>
    <w:rsid w:val="00B16263"/>
    <w:rsid w:val="00B16765"/>
    <w:rsid w:val="00B173AD"/>
    <w:rsid w:val="00B17948"/>
    <w:rsid w:val="00B22532"/>
    <w:rsid w:val="00B22CA8"/>
    <w:rsid w:val="00B24B8E"/>
    <w:rsid w:val="00B24FC0"/>
    <w:rsid w:val="00B25BEB"/>
    <w:rsid w:val="00B25D53"/>
    <w:rsid w:val="00B2735F"/>
    <w:rsid w:val="00B302F8"/>
    <w:rsid w:val="00B30899"/>
    <w:rsid w:val="00B35477"/>
    <w:rsid w:val="00B35F50"/>
    <w:rsid w:val="00B37595"/>
    <w:rsid w:val="00B40839"/>
    <w:rsid w:val="00B40A0E"/>
    <w:rsid w:val="00B40EB7"/>
    <w:rsid w:val="00B42144"/>
    <w:rsid w:val="00B427A7"/>
    <w:rsid w:val="00B436C6"/>
    <w:rsid w:val="00B44CB2"/>
    <w:rsid w:val="00B45938"/>
    <w:rsid w:val="00B45A6C"/>
    <w:rsid w:val="00B47938"/>
    <w:rsid w:val="00B51F06"/>
    <w:rsid w:val="00B53EFF"/>
    <w:rsid w:val="00B54070"/>
    <w:rsid w:val="00B54AFA"/>
    <w:rsid w:val="00B60E46"/>
    <w:rsid w:val="00B628F4"/>
    <w:rsid w:val="00B630A5"/>
    <w:rsid w:val="00B63C98"/>
    <w:rsid w:val="00B66169"/>
    <w:rsid w:val="00B6659C"/>
    <w:rsid w:val="00B669C0"/>
    <w:rsid w:val="00B672AF"/>
    <w:rsid w:val="00B75106"/>
    <w:rsid w:val="00B76426"/>
    <w:rsid w:val="00B767E7"/>
    <w:rsid w:val="00B804E8"/>
    <w:rsid w:val="00B808B3"/>
    <w:rsid w:val="00B832BF"/>
    <w:rsid w:val="00B842A2"/>
    <w:rsid w:val="00B860EA"/>
    <w:rsid w:val="00B87DA1"/>
    <w:rsid w:val="00B91573"/>
    <w:rsid w:val="00B93242"/>
    <w:rsid w:val="00B95775"/>
    <w:rsid w:val="00B95DC7"/>
    <w:rsid w:val="00B960D4"/>
    <w:rsid w:val="00B96E41"/>
    <w:rsid w:val="00B972D9"/>
    <w:rsid w:val="00BA2F19"/>
    <w:rsid w:val="00BA32FF"/>
    <w:rsid w:val="00BA3AB5"/>
    <w:rsid w:val="00BA3E2F"/>
    <w:rsid w:val="00BA442A"/>
    <w:rsid w:val="00BA52A2"/>
    <w:rsid w:val="00BA5BE0"/>
    <w:rsid w:val="00BA5D81"/>
    <w:rsid w:val="00BA72FE"/>
    <w:rsid w:val="00BB0A57"/>
    <w:rsid w:val="00BB2D40"/>
    <w:rsid w:val="00BB60A4"/>
    <w:rsid w:val="00BB7370"/>
    <w:rsid w:val="00BB750C"/>
    <w:rsid w:val="00BC12ED"/>
    <w:rsid w:val="00BC1681"/>
    <w:rsid w:val="00BC206C"/>
    <w:rsid w:val="00BC33D6"/>
    <w:rsid w:val="00BD1EA7"/>
    <w:rsid w:val="00BD22E6"/>
    <w:rsid w:val="00BD2623"/>
    <w:rsid w:val="00BD596A"/>
    <w:rsid w:val="00BD6EA7"/>
    <w:rsid w:val="00BE0571"/>
    <w:rsid w:val="00BE09C5"/>
    <w:rsid w:val="00BE1732"/>
    <w:rsid w:val="00BE1DDA"/>
    <w:rsid w:val="00BE36D5"/>
    <w:rsid w:val="00BE3D10"/>
    <w:rsid w:val="00BE6C73"/>
    <w:rsid w:val="00BE7660"/>
    <w:rsid w:val="00BF020B"/>
    <w:rsid w:val="00BF1F99"/>
    <w:rsid w:val="00BF2B08"/>
    <w:rsid w:val="00BF447F"/>
    <w:rsid w:val="00BF7A26"/>
    <w:rsid w:val="00C00C34"/>
    <w:rsid w:val="00C01A35"/>
    <w:rsid w:val="00C02C5E"/>
    <w:rsid w:val="00C036DF"/>
    <w:rsid w:val="00C069A5"/>
    <w:rsid w:val="00C07569"/>
    <w:rsid w:val="00C104BF"/>
    <w:rsid w:val="00C1490A"/>
    <w:rsid w:val="00C14DCC"/>
    <w:rsid w:val="00C17791"/>
    <w:rsid w:val="00C2099F"/>
    <w:rsid w:val="00C219D6"/>
    <w:rsid w:val="00C22A38"/>
    <w:rsid w:val="00C232D8"/>
    <w:rsid w:val="00C24AE1"/>
    <w:rsid w:val="00C26AEB"/>
    <w:rsid w:val="00C279E9"/>
    <w:rsid w:val="00C31DDB"/>
    <w:rsid w:val="00C31FA2"/>
    <w:rsid w:val="00C35CCA"/>
    <w:rsid w:val="00C36E25"/>
    <w:rsid w:val="00C36F0F"/>
    <w:rsid w:val="00C400BC"/>
    <w:rsid w:val="00C40FC9"/>
    <w:rsid w:val="00C4112D"/>
    <w:rsid w:val="00C4209C"/>
    <w:rsid w:val="00C424C8"/>
    <w:rsid w:val="00C448CF"/>
    <w:rsid w:val="00C45CF6"/>
    <w:rsid w:val="00C52CAA"/>
    <w:rsid w:val="00C541A8"/>
    <w:rsid w:val="00C54349"/>
    <w:rsid w:val="00C57267"/>
    <w:rsid w:val="00C60D02"/>
    <w:rsid w:val="00C61CE7"/>
    <w:rsid w:val="00C636C2"/>
    <w:rsid w:val="00C649DF"/>
    <w:rsid w:val="00C6530C"/>
    <w:rsid w:val="00C700D5"/>
    <w:rsid w:val="00C70F96"/>
    <w:rsid w:val="00C71B6A"/>
    <w:rsid w:val="00C7214C"/>
    <w:rsid w:val="00C736CB"/>
    <w:rsid w:val="00C740B0"/>
    <w:rsid w:val="00C74465"/>
    <w:rsid w:val="00C761FE"/>
    <w:rsid w:val="00C76666"/>
    <w:rsid w:val="00C801D4"/>
    <w:rsid w:val="00C8079C"/>
    <w:rsid w:val="00C81947"/>
    <w:rsid w:val="00C83EFD"/>
    <w:rsid w:val="00C858E4"/>
    <w:rsid w:val="00C85D12"/>
    <w:rsid w:val="00C90A80"/>
    <w:rsid w:val="00C924A7"/>
    <w:rsid w:val="00C93368"/>
    <w:rsid w:val="00C959A6"/>
    <w:rsid w:val="00C9707A"/>
    <w:rsid w:val="00C97D07"/>
    <w:rsid w:val="00CA04DE"/>
    <w:rsid w:val="00CA050A"/>
    <w:rsid w:val="00CA1351"/>
    <w:rsid w:val="00CA3A0F"/>
    <w:rsid w:val="00CA60A9"/>
    <w:rsid w:val="00CA6707"/>
    <w:rsid w:val="00CB1A89"/>
    <w:rsid w:val="00CB210E"/>
    <w:rsid w:val="00CB2691"/>
    <w:rsid w:val="00CB2851"/>
    <w:rsid w:val="00CB3146"/>
    <w:rsid w:val="00CB4134"/>
    <w:rsid w:val="00CB4B2A"/>
    <w:rsid w:val="00CC124A"/>
    <w:rsid w:val="00CC3819"/>
    <w:rsid w:val="00CC4968"/>
    <w:rsid w:val="00CC4A15"/>
    <w:rsid w:val="00CC4B55"/>
    <w:rsid w:val="00CC5DF2"/>
    <w:rsid w:val="00CD0219"/>
    <w:rsid w:val="00CD0A03"/>
    <w:rsid w:val="00CD2BB1"/>
    <w:rsid w:val="00CE10BA"/>
    <w:rsid w:val="00CE1C9A"/>
    <w:rsid w:val="00CE2818"/>
    <w:rsid w:val="00CE38D4"/>
    <w:rsid w:val="00CE4779"/>
    <w:rsid w:val="00CE4AD3"/>
    <w:rsid w:val="00CE5E50"/>
    <w:rsid w:val="00CE5E99"/>
    <w:rsid w:val="00CE77A2"/>
    <w:rsid w:val="00CF0D3D"/>
    <w:rsid w:val="00CF0FC4"/>
    <w:rsid w:val="00CF1B0C"/>
    <w:rsid w:val="00CF3608"/>
    <w:rsid w:val="00CF3C3D"/>
    <w:rsid w:val="00CF462D"/>
    <w:rsid w:val="00CF4A50"/>
    <w:rsid w:val="00CF4AB6"/>
    <w:rsid w:val="00CF68B3"/>
    <w:rsid w:val="00CF6932"/>
    <w:rsid w:val="00D01625"/>
    <w:rsid w:val="00D0359B"/>
    <w:rsid w:val="00D04878"/>
    <w:rsid w:val="00D04D30"/>
    <w:rsid w:val="00D068D3"/>
    <w:rsid w:val="00D07576"/>
    <w:rsid w:val="00D07EDA"/>
    <w:rsid w:val="00D10C04"/>
    <w:rsid w:val="00D149A3"/>
    <w:rsid w:val="00D164AF"/>
    <w:rsid w:val="00D165A4"/>
    <w:rsid w:val="00D17B17"/>
    <w:rsid w:val="00D236CE"/>
    <w:rsid w:val="00D23D0E"/>
    <w:rsid w:val="00D23EDC"/>
    <w:rsid w:val="00D251DF"/>
    <w:rsid w:val="00D258AC"/>
    <w:rsid w:val="00D26F3A"/>
    <w:rsid w:val="00D27440"/>
    <w:rsid w:val="00D30E09"/>
    <w:rsid w:val="00D32187"/>
    <w:rsid w:val="00D325FE"/>
    <w:rsid w:val="00D32A8C"/>
    <w:rsid w:val="00D3333D"/>
    <w:rsid w:val="00D33D13"/>
    <w:rsid w:val="00D341B1"/>
    <w:rsid w:val="00D345A4"/>
    <w:rsid w:val="00D37F2F"/>
    <w:rsid w:val="00D42F5C"/>
    <w:rsid w:val="00D44E09"/>
    <w:rsid w:val="00D4573F"/>
    <w:rsid w:val="00D46ECA"/>
    <w:rsid w:val="00D52D46"/>
    <w:rsid w:val="00D537F6"/>
    <w:rsid w:val="00D54B98"/>
    <w:rsid w:val="00D55D81"/>
    <w:rsid w:val="00D57576"/>
    <w:rsid w:val="00D575A8"/>
    <w:rsid w:val="00D57692"/>
    <w:rsid w:val="00D57782"/>
    <w:rsid w:val="00D60230"/>
    <w:rsid w:val="00D6091A"/>
    <w:rsid w:val="00D6268F"/>
    <w:rsid w:val="00D62E18"/>
    <w:rsid w:val="00D63890"/>
    <w:rsid w:val="00D63B83"/>
    <w:rsid w:val="00D645B0"/>
    <w:rsid w:val="00D64B01"/>
    <w:rsid w:val="00D709CF"/>
    <w:rsid w:val="00D70E24"/>
    <w:rsid w:val="00D71F83"/>
    <w:rsid w:val="00D72315"/>
    <w:rsid w:val="00D73C5B"/>
    <w:rsid w:val="00D74CBC"/>
    <w:rsid w:val="00D74E6F"/>
    <w:rsid w:val="00D74F2C"/>
    <w:rsid w:val="00D74F9F"/>
    <w:rsid w:val="00D75528"/>
    <w:rsid w:val="00D75981"/>
    <w:rsid w:val="00D77527"/>
    <w:rsid w:val="00D80B11"/>
    <w:rsid w:val="00D81219"/>
    <w:rsid w:val="00D827C7"/>
    <w:rsid w:val="00D835CF"/>
    <w:rsid w:val="00D85184"/>
    <w:rsid w:val="00D8519B"/>
    <w:rsid w:val="00D90114"/>
    <w:rsid w:val="00D91BBC"/>
    <w:rsid w:val="00D92878"/>
    <w:rsid w:val="00D9410F"/>
    <w:rsid w:val="00D94CFB"/>
    <w:rsid w:val="00D97004"/>
    <w:rsid w:val="00D9714F"/>
    <w:rsid w:val="00DA15A8"/>
    <w:rsid w:val="00DA17A5"/>
    <w:rsid w:val="00DA26FB"/>
    <w:rsid w:val="00DA516D"/>
    <w:rsid w:val="00DA6F37"/>
    <w:rsid w:val="00DA71C3"/>
    <w:rsid w:val="00DA71DF"/>
    <w:rsid w:val="00DA79D7"/>
    <w:rsid w:val="00DB0FDF"/>
    <w:rsid w:val="00DB1472"/>
    <w:rsid w:val="00DB20A2"/>
    <w:rsid w:val="00DB2E72"/>
    <w:rsid w:val="00DB3161"/>
    <w:rsid w:val="00DB4109"/>
    <w:rsid w:val="00DB4DB4"/>
    <w:rsid w:val="00DB69D1"/>
    <w:rsid w:val="00DB6C3D"/>
    <w:rsid w:val="00DB7BED"/>
    <w:rsid w:val="00DC01E7"/>
    <w:rsid w:val="00DC128E"/>
    <w:rsid w:val="00DC1FE3"/>
    <w:rsid w:val="00DC2166"/>
    <w:rsid w:val="00DC4901"/>
    <w:rsid w:val="00DC5ACF"/>
    <w:rsid w:val="00DC5AEC"/>
    <w:rsid w:val="00DC65F6"/>
    <w:rsid w:val="00DC6BE7"/>
    <w:rsid w:val="00DC76F0"/>
    <w:rsid w:val="00DD0380"/>
    <w:rsid w:val="00DD0511"/>
    <w:rsid w:val="00DD3A49"/>
    <w:rsid w:val="00DD3C11"/>
    <w:rsid w:val="00DD4356"/>
    <w:rsid w:val="00DD5B35"/>
    <w:rsid w:val="00DD6AC4"/>
    <w:rsid w:val="00DD72DA"/>
    <w:rsid w:val="00DE030F"/>
    <w:rsid w:val="00DE0509"/>
    <w:rsid w:val="00DE1242"/>
    <w:rsid w:val="00DE139F"/>
    <w:rsid w:val="00DE2DFD"/>
    <w:rsid w:val="00DE2FCF"/>
    <w:rsid w:val="00DE4BC5"/>
    <w:rsid w:val="00DE5AED"/>
    <w:rsid w:val="00DE71D3"/>
    <w:rsid w:val="00DF041B"/>
    <w:rsid w:val="00DF08A0"/>
    <w:rsid w:val="00DF1633"/>
    <w:rsid w:val="00DF582A"/>
    <w:rsid w:val="00DF7785"/>
    <w:rsid w:val="00E00835"/>
    <w:rsid w:val="00E04578"/>
    <w:rsid w:val="00E07305"/>
    <w:rsid w:val="00E10D59"/>
    <w:rsid w:val="00E121EB"/>
    <w:rsid w:val="00E13D48"/>
    <w:rsid w:val="00E17F6D"/>
    <w:rsid w:val="00E204CF"/>
    <w:rsid w:val="00E20900"/>
    <w:rsid w:val="00E20DFD"/>
    <w:rsid w:val="00E210B9"/>
    <w:rsid w:val="00E2312A"/>
    <w:rsid w:val="00E23241"/>
    <w:rsid w:val="00E23D8D"/>
    <w:rsid w:val="00E245ED"/>
    <w:rsid w:val="00E276E1"/>
    <w:rsid w:val="00E32711"/>
    <w:rsid w:val="00E33042"/>
    <w:rsid w:val="00E35125"/>
    <w:rsid w:val="00E35A9A"/>
    <w:rsid w:val="00E3653E"/>
    <w:rsid w:val="00E36ECB"/>
    <w:rsid w:val="00E37974"/>
    <w:rsid w:val="00E409A4"/>
    <w:rsid w:val="00E43E37"/>
    <w:rsid w:val="00E4537B"/>
    <w:rsid w:val="00E45B58"/>
    <w:rsid w:val="00E45D9C"/>
    <w:rsid w:val="00E46227"/>
    <w:rsid w:val="00E46742"/>
    <w:rsid w:val="00E50E45"/>
    <w:rsid w:val="00E51227"/>
    <w:rsid w:val="00E51655"/>
    <w:rsid w:val="00E54720"/>
    <w:rsid w:val="00E54FB7"/>
    <w:rsid w:val="00E614EA"/>
    <w:rsid w:val="00E621F0"/>
    <w:rsid w:val="00E634A6"/>
    <w:rsid w:val="00E6369A"/>
    <w:rsid w:val="00E63ECB"/>
    <w:rsid w:val="00E6414C"/>
    <w:rsid w:val="00E653B5"/>
    <w:rsid w:val="00E66211"/>
    <w:rsid w:val="00E662CB"/>
    <w:rsid w:val="00E67AD0"/>
    <w:rsid w:val="00E701F5"/>
    <w:rsid w:val="00E70285"/>
    <w:rsid w:val="00E73627"/>
    <w:rsid w:val="00E73C8D"/>
    <w:rsid w:val="00E74909"/>
    <w:rsid w:val="00E751D2"/>
    <w:rsid w:val="00E77B2E"/>
    <w:rsid w:val="00E77F63"/>
    <w:rsid w:val="00E81CDB"/>
    <w:rsid w:val="00E82FDF"/>
    <w:rsid w:val="00E83168"/>
    <w:rsid w:val="00E836A2"/>
    <w:rsid w:val="00E8374A"/>
    <w:rsid w:val="00E867BC"/>
    <w:rsid w:val="00E871FD"/>
    <w:rsid w:val="00E9008D"/>
    <w:rsid w:val="00E9195A"/>
    <w:rsid w:val="00E92D72"/>
    <w:rsid w:val="00EA0C8D"/>
    <w:rsid w:val="00EA341D"/>
    <w:rsid w:val="00EA5DE4"/>
    <w:rsid w:val="00EA628D"/>
    <w:rsid w:val="00EA64B8"/>
    <w:rsid w:val="00EA6835"/>
    <w:rsid w:val="00EA7740"/>
    <w:rsid w:val="00EB2DA7"/>
    <w:rsid w:val="00EB4273"/>
    <w:rsid w:val="00EB4D15"/>
    <w:rsid w:val="00EB50F9"/>
    <w:rsid w:val="00EB5E57"/>
    <w:rsid w:val="00EB6D76"/>
    <w:rsid w:val="00EB7D9E"/>
    <w:rsid w:val="00EC0063"/>
    <w:rsid w:val="00EC0C4D"/>
    <w:rsid w:val="00EC4DF1"/>
    <w:rsid w:val="00EC50FB"/>
    <w:rsid w:val="00EC54FC"/>
    <w:rsid w:val="00EC64D6"/>
    <w:rsid w:val="00EC6F66"/>
    <w:rsid w:val="00EC7194"/>
    <w:rsid w:val="00ED1B32"/>
    <w:rsid w:val="00ED242B"/>
    <w:rsid w:val="00ED24BB"/>
    <w:rsid w:val="00ED2651"/>
    <w:rsid w:val="00ED300C"/>
    <w:rsid w:val="00ED30C9"/>
    <w:rsid w:val="00ED4141"/>
    <w:rsid w:val="00ED4F93"/>
    <w:rsid w:val="00ED6420"/>
    <w:rsid w:val="00ED6C9E"/>
    <w:rsid w:val="00EE37CF"/>
    <w:rsid w:val="00EE4D14"/>
    <w:rsid w:val="00EE5DA0"/>
    <w:rsid w:val="00EE65BB"/>
    <w:rsid w:val="00EE7E41"/>
    <w:rsid w:val="00EF3E22"/>
    <w:rsid w:val="00EF6A6A"/>
    <w:rsid w:val="00EF71A0"/>
    <w:rsid w:val="00F005D1"/>
    <w:rsid w:val="00F01D48"/>
    <w:rsid w:val="00F023E2"/>
    <w:rsid w:val="00F04E04"/>
    <w:rsid w:val="00F06855"/>
    <w:rsid w:val="00F0774E"/>
    <w:rsid w:val="00F123B5"/>
    <w:rsid w:val="00F126D7"/>
    <w:rsid w:val="00F13EF5"/>
    <w:rsid w:val="00F13F91"/>
    <w:rsid w:val="00F13FA8"/>
    <w:rsid w:val="00F15F40"/>
    <w:rsid w:val="00F200B4"/>
    <w:rsid w:val="00F27386"/>
    <w:rsid w:val="00F277FB"/>
    <w:rsid w:val="00F31003"/>
    <w:rsid w:val="00F33E77"/>
    <w:rsid w:val="00F349A6"/>
    <w:rsid w:val="00F34A03"/>
    <w:rsid w:val="00F3573F"/>
    <w:rsid w:val="00F3582A"/>
    <w:rsid w:val="00F37451"/>
    <w:rsid w:val="00F40463"/>
    <w:rsid w:val="00F41EA3"/>
    <w:rsid w:val="00F42849"/>
    <w:rsid w:val="00F43333"/>
    <w:rsid w:val="00F433A0"/>
    <w:rsid w:val="00F43911"/>
    <w:rsid w:val="00F44178"/>
    <w:rsid w:val="00F4466E"/>
    <w:rsid w:val="00F528C7"/>
    <w:rsid w:val="00F55A32"/>
    <w:rsid w:val="00F5649A"/>
    <w:rsid w:val="00F5650D"/>
    <w:rsid w:val="00F63C15"/>
    <w:rsid w:val="00F650D7"/>
    <w:rsid w:val="00F65565"/>
    <w:rsid w:val="00F67A46"/>
    <w:rsid w:val="00F71339"/>
    <w:rsid w:val="00F71F33"/>
    <w:rsid w:val="00F74989"/>
    <w:rsid w:val="00F76C68"/>
    <w:rsid w:val="00F77E61"/>
    <w:rsid w:val="00F82334"/>
    <w:rsid w:val="00F82342"/>
    <w:rsid w:val="00F84DDA"/>
    <w:rsid w:val="00F84EA8"/>
    <w:rsid w:val="00F85627"/>
    <w:rsid w:val="00F865BD"/>
    <w:rsid w:val="00F86C1B"/>
    <w:rsid w:val="00F91AE4"/>
    <w:rsid w:val="00F92234"/>
    <w:rsid w:val="00F92624"/>
    <w:rsid w:val="00F958CE"/>
    <w:rsid w:val="00F95A16"/>
    <w:rsid w:val="00F9680A"/>
    <w:rsid w:val="00F97476"/>
    <w:rsid w:val="00FA1127"/>
    <w:rsid w:val="00FA1523"/>
    <w:rsid w:val="00FA3412"/>
    <w:rsid w:val="00FA3CAE"/>
    <w:rsid w:val="00FA49B5"/>
    <w:rsid w:val="00FA4E9F"/>
    <w:rsid w:val="00FA5ABC"/>
    <w:rsid w:val="00FA5D52"/>
    <w:rsid w:val="00FA683C"/>
    <w:rsid w:val="00FB1231"/>
    <w:rsid w:val="00FB15BC"/>
    <w:rsid w:val="00FB1C9E"/>
    <w:rsid w:val="00FB22C8"/>
    <w:rsid w:val="00FB408B"/>
    <w:rsid w:val="00FB466B"/>
    <w:rsid w:val="00FB5786"/>
    <w:rsid w:val="00FB5C5B"/>
    <w:rsid w:val="00FB6429"/>
    <w:rsid w:val="00FB7541"/>
    <w:rsid w:val="00FB7C1F"/>
    <w:rsid w:val="00FC090C"/>
    <w:rsid w:val="00FC2412"/>
    <w:rsid w:val="00FC3E85"/>
    <w:rsid w:val="00FC5307"/>
    <w:rsid w:val="00FC627D"/>
    <w:rsid w:val="00FD1466"/>
    <w:rsid w:val="00FD1A9C"/>
    <w:rsid w:val="00FD633E"/>
    <w:rsid w:val="00FD7191"/>
    <w:rsid w:val="00FE0B00"/>
    <w:rsid w:val="00FE12FF"/>
    <w:rsid w:val="00FE17E2"/>
    <w:rsid w:val="00FE6146"/>
    <w:rsid w:val="00FE7530"/>
    <w:rsid w:val="00FE7BD5"/>
    <w:rsid w:val="00FF095F"/>
    <w:rsid w:val="00FF0AF3"/>
    <w:rsid w:val="00FF170C"/>
    <w:rsid w:val="00FF1BE1"/>
    <w:rsid w:val="00FF3668"/>
    <w:rsid w:val="00FF4967"/>
    <w:rsid w:val="00FF509C"/>
    <w:rsid w:val="00FF50F6"/>
    <w:rsid w:val="00FF5DC3"/>
    <w:rsid w:val="00FF61D4"/>
    <w:rsid w:val="00FF78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4:docId w14:val="15637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6422F"/>
    <w:rPr>
      <w:rFonts w:ascii="Arial" w:hAnsi="Arial"/>
      <w:sz w:val="24"/>
      <w:lang w:eastAsia="en-US"/>
    </w:rPr>
  </w:style>
  <w:style w:type="paragraph" w:styleId="Heading1">
    <w:name w:val="heading 1"/>
    <w:basedOn w:val="Heading2"/>
    <w:next w:val="Normal"/>
    <w:qFormat/>
    <w:rsid w:val="00333FAA"/>
    <w:pPr>
      <w:outlineLvl w:val="0"/>
    </w:pPr>
    <w:rPr>
      <w:rFonts w:ascii="Arial Black" w:hAnsi="Arial Black"/>
      <w:b w:val="0"/>
      <w:sz w:val="32"/>
    </w:rPr>
  </w:style>
  <w:style w:type="paragraph" w:styleId="Heading2">
    <w:name w:val="heading 2"/>
    <w:basedOn w:val="Normal"/>
    <w:next w:val="Normal"/>
    <w:qFormat/>
    <w:rsid w:val="00333FAA"/>
    <w:pPr>
      <w:outlineLvl w:val="1"/>
    </w:pPr>
    <w:rPr>
      <w:rFonts w:cs="Arial"/>
      <w:b/>
      <w:bCs/>
      <w:sz w:val="28"/>
      <w:szCs w:val="32"/>
    </w:rPr>
  </w:style>
  <w:style w:type="paragraph" w:styleId="Heading3">
    <w:name w:val="heading 3"/>
    <w:basedOn w:val="Normal"/>
    <w:next w:val="Normal"/>
    <w:qFormat/>
    <w:rsid w:val="00333FAA"/>
    <w:pPr>
      <w:ind w:left="720" w:hanging="720"/>
      <w:jc w:val="both"/>
      <w:outlineLvl w:val="2"/>
    </w:pPr>
    <w:rPr>
      <w:rFonts w:cs="Arial"/>
      <w:b/>
      <w:bCs/>
      <w:i/>
      <w:szCs w:val="28"/>
    </w:rPr>
  </w:style>
  <w:style w:type="paragraph" w:styleId="Heading4">
    <w:name w:val="heading 4"/>
    <w:basedOn w:val="Normal"/>
    <w:next w:val="Normal"/>
    <w:qFormat/>
    <w:rsid w:val="00333FAA"/>
    <w:pPr>
      <w:keepNext/>
      <w:outlineLvl w:val="3"/>
    </w:pPr>
    <w:rPr>
      <w:rFonts w:cs="Arial"/>
      <w:b/>
    </w:rPr>
  </w:style>
  <w:style w:type="paragraph" w:styleId="Heading5">
    <w:name w:val="heading 5"/>
    <w:basedOn w:val="Normal"/>
    <w:next w:val="Normal"/>
    <w:link w:val="Heading5Char"/>
    <w:qFormat/>
    <w:rsid w:val="00741AEB"/>
    <w:pPr>
      <w:keepNext/>
      <w:outlineLvl w:val="4"/>
    </w:pPr>
    <w:rPr>
      <w:rFonts w:cs="Arial"/>
      <w:sz w:val="28"/>
    </w:rPr>
  </w:style>
  <w:style w:type="paragraph" w:styleId="Heading6">
    <w:name w:val="heading 6"/>
    <w:basedOn w:val="Normal"/>
    <w:next w:val="Normal"/>
    <w:link w:val="Heading6Char"/>
    <w:qFormat/>
    <w:rsid w:val="00741AEB"/>
    <w:pPr>
      <w:keepNext/>
      <w:ind w:left="720" w:hanging="720"/>
      <w:outlineLvl w:val="5"/>
    </w:pPr>
    <w:rPr>
      <w:rFonts w:cs="Arial"/>
      <w:b/>
      <w:bCs/>
      <w:sz w:val="28"/>
      <w:szCs w:val="24"/>
    </w:rPr>
  </w:style>
  <w:style w:type="paragraph" w:styleId="Heading7">
    <w:name w:val="heading 7"/>
    <w:basedOn w:val="Normal"/>
    <w:next w:val="Normal"/>
    <w:link w:val="Heading7Char"/>
    <w:qFormat/>
    <w:rsid w:val="00741AEB"/>
    <w:pPr>
      <w:keepNext/>
      <w:ind w:left="720" w:hanging="720"/>
      <w:jc w:val="both"/>
      <w:outlineLvl w:val="6"/>
    </w:pPr>
    <w:rPr>
      <w:rFonts w:cs="Arial"/>
      <w:i/>
      <w:iCs/>
    </w:rPr>
  </w:style>
  <w:style w:type="paragraph" w:styleId="Heading8">
    <w:name w:val="heading 8"/>
    <w:basedOn w:val="Normal"/>
    <w:next w:val="Normal"/>
    <w:link w:val="Heading8Char"/>
    <w:qFormat/>
    <w:rsid w:val="00741AEB"/>
    <w:pPr>
      <w:keepNext/>
      <w:ind w:left="720" w:hanging="720"/>
      <w:outlineLvl w:val="7"/>
    </w:pPr>
    <w:rPr>
      <w:rFonts w:cs="Arial"/>
      <w:i/>
      <w:iCs/>
    </w:rPr>
  </w:style>
  <w:style w:type="paragraph" w:styleId="Heading9">
    <w:name w:val="heading 9"/>
    <w:basedOn w:val="Normal"/>
    <w:next w:val="Normal"/>
    <w:link w:val="Heading9Char"/>
    <w:qFormat/>
    <w:rsid w:val="00741AEB"/>
    <w:pPr>
      <w:keepNext/>
      <w:ind w:left="720" w:hanging="72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33FAA"/>
    <w:pPr>
      <w:tabs>
        <w:tab w:val="center" w:pos="4153"/>
        <w:tab w:val="right" w:pos="8306"/>
      </w:tabs>
    </w:pPr>
    <w:rPr>
      <w:szCs w:val="24"/>
      <w:lang w:val="en-US"/>
    </w:rPr>
  </w:style>
  <w:style w:type="paragraph" w:customStyle="1" w:styleId="Infotext">
    <w:name w:val="Info text"/>
    <w:basedOn w:val="Normal"/>
    <w:rsid w:val="00333FAA"/>
    <w:rPr>
      <w:sz w:val="28"/>
    </w:rPr>
  </w:style>
  <w:style w:type="paragraph" w:styleId="Header">
    <w:name w:val="header"/>
    <w:basedOn w:val="Normal"/>
    <w:link w:val="HeaderChar"/>
    <w:uiPriority w:val="99"/>
    <w:rsid w:val="00333FAA"/>
    <w:pPr>
      <w:tabs>
        <w:tab w:val="center" w:pos="4153"/>
        <w:tab w:val="right" w:pos="8306"/>
      </w:tabs>
    </w:pPr>
  </w:style>
  <w:style w:type="paragraph" w:styleId="FootnoteText">
    <w:name w:val="footnote text"/>
    <w:basedOn w:val="Normal"/>
    <w:semiHidden/>
    <w:rsid w:val="00812901"/>
    <w:rPr>
      <w:rFonts w:ascii="Times New Roman" w:hAnsi="Times New Roman"/>
      <w:sz w:val="20"/>
    </w:rPr>
  </w:style>
  <w:style w:type="paragraph" w:styleId="NormalWeb">
    <w:name w:val="Normal (Web)"/>
    <w:basedOn w:val="Normal"/>
    <w:semiHidden/>
    <w:rsid w:val="00333FAA"/>
    <w:pPr>
      <w:spacing w:before="100" w:beforeAutospacing="1" w:after="300"/>
    </w:pPr>
    <w:rPr>
      <w:rFonts w:ascii="Times New Roman" w:eastAsia="Calibri" w:hAnsi="Times New Roman"/>
      <w:szCs w:val="24"/>
      <w:lang w:val="en-US"/>
    </w:rPr>
  </w:style>
  <w:style w:type="character" w:styleId="Strong">
    <w:name w:val="Strong"/>
    <w:qFormat/>
    <w:rsid w:val="00333FAA"/>
    <w:rPr>
      <w:b/>
      <w:bCs/>
    </w:rPr>
  </w:style>
  <w:style w:type="character" w:styleId="PageNumber">
    <w:name w:val="page number"/>
    <w:basedOn w:val="DefaultParagraphFont"/>
    <w:rsid w:val="00333FAA"/>
  </w:style>
  <w:style w:type="paragraph" w:styleId="BodyText">
    <w:name w:val="Body Text"/>
    <w:basedOn w:val="Normal"/>
    <w:rsid w:val="001C7E35"/>
    <w:rPr>
      <w:rFonts w:cs="Arial"/>
      <w:i/>
      <w:iCs/>
    </w:rPr>
  </w:style>
  <w:style w:type="character" w:styleId="FootnoteReference">
    <w:name w:val="footnote reference"/>
    <w:semiHidden/>
    <w:rsid w:val="001C7E35"/>
    <w:rPr>
      <w:vertAlign w:val="superscript"/>
    </w:rPr>
  </w:style>
  <w:style w:type="character" w:styleId="Hyperlink">
    <w:name w:val="Hyperlink"/>
    <w:uiPriority w:val="99"/>
    <w:rsid w:val="001C7E35"/>
    <w:rPr>
      <w:color w:val="0000FF"/>
      <w:u w:val="single"/>
    </w:rPr>
  </w:style>
  <w:style w:type="table" w:styleId="TableGrid">
    <w:name w:val="Table Grid"/>
    <w:basedOn w:val="TableNormal"/>
    <w:rsid w:val="001966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Char Char Char Char"/>
    <w:basedOn w:val="Normal"/>
    <w:locked/>
    <w:rsid w:val="00812901"/>
    <w:pPr>
      <w:spacing w:after="160" w:line="240" w:lineRule="exact"/>
    </w:pPr>
    <w:rPr>
      <w:rFonts w:ascii="Verdana" w:hAnsi="Verdana"/>
      <w:sz w:val="20"/>
      <w:lang w:val="en-US"/>
    </w:rPr>
  </w:style>
  <w:style w:type="paragraph" w:customStyle="1" w:styleId="Normal2">
    <w:name w:val="Normal2"/>
    <w:rsid w:val="00812901"/>
    <w:rPr>
      <w:rFonts w:ascii="Arial" w:hAnsi="Arial"/>
      <w:sz w:val="22"/>
      <w:lang w:val="en-US" w:eastAsia="en-US"/>
    </w:rPr>
  </w:style>
  <w:style w:type="paragraph" w:customStyle="1" w:styleId="CharCharCharCharCharCharCharChar">
    <w:name w:val="Char Char Char Char Char Char Char Char"/>
    <w:basedOn w:val="Normal"/>
    <w:rsid w:val="00DA26FB"/>
    <w:pPr>
      <w:spacing w:after="160" w:line="240" w:lineRule="exact"/>
    </w:pPr>
    <w:rPr>
      <w:rFonts w:ascii="Tahoma" w:hAnsi="Tahoma"/>
      <w:sz w:val="20"/>
      <w:lang w:eastAsia="en-GB"/>
    </w:rPr>
  </w:style>
  <w:style w:type="character" w:customStyle="1" w:styleId="Heading5Char">
    <w:name w:val="Heading 5 Char"/>
    <w:basedOn w:val="DefaultParagraphFont"/>
    <w:link w:val="Heading5"/>
    <w:rsid w:val="00741AEB"/>
    <w:rPr>
      <w:rFonts w:ascii="Arial" w:hAnsi="Arial" w:cs="Arial"/>
      <w:sz w:val="28"/>
      <w:lang w:eastAsia="en-US"/>
    </w:rPr>
  </w:style>
  <w:style w:type="character" w:customStyle="1" w:styleId="Heading6Char">
    <w:name w:val="Heading 6 Char"/>
    <w:basedOn w:val="DefaultParagraphFont"/>
    <w:link w:val="Heading6"/>
    <w:rsid w:val="00741AEB"/>
    <w:rPr>
      <w:rFonts w:ascii="Arial" w:hAnsi="Arial" w:cs="Arial"/>
      <w:b/>
      <w:bCs/>
      <w:sz w:val="28"/>
      <w:szCs w:val="24"/>
      <w:lang w:eastAsia="en-US"/>
    </w:rPr>
  </w:style>
  <w:style w:type="character" w:customStyle="1" w:styleId="Heading7Char">
    <w:name w:val="Heading 7 Char"/>
    <w:basedOn w:val="DefaultParagraphFont"/>
    <w:link w:val="Heading7"/>
    <w:rsid w:val="00741AEB"/>
    <w:rPr>
      <w:rFonts w:ascii="Arial" w:hAnsi="Arial" w:cs="Arial"/>
      <w:i/>
      <w:iCs/>
      <w:sz w:val="24"/>
      <w:lang w:eastAsia="en-US"/>
    </w:rPr>
  </w:style>
  <w:style w:type="character" w:customStyle="1" w:styleId="Heading8Char">
    <w:name w:val="Heading 8 Char"/>
    <w:basedOn w:val="DefaultParagraphFont"/>
    <w:link w:val="Heading8"/>
    <w:rsid w:val="00741AEB"/>
    <w:rPr>
      <w:rFonts w:ascii="Arial" w:hAnsi="Arial" w:cs="Arial"/>
      <w:i/>
      <w:iCs/>
      <w:sz w:val="24"/>
      <w:lang w:eastAsia="en-US"/>
    </w:rPr>
  </w:style>
  <w:style w:type="character" w:customStyle="1" w:styleId="Heading9Char">
    <w:name w:val="Heading 9 Char"/>
    <w:basedOn w:val="DefaultParagraphFont"/>
    <w:link w:val="Heading9"/>
    <w:rsid w:val="00741AEB"/>
    <w:rPr>
      <w:rFonts w:ascii="Arial" w:hAnsi="Arial" w:cs="Arial"/>
      <w:sz w:val="24"/>
      <w:lang w:eastAsia="en-US"/>
    </w:rPr>
  </w:style>
  <w:style w:type="character" w:customStyle="1" w:styleId="FooterChar">
    <w:name w:val="Footer Char"/>
    <w:link w:val="Footer"/>
    <w:uiPriority w:val="99"/>
    <w:rsid w:val="00741AEB"/>
    <w:rPr>
      <w:rFonts w:ascii="Arial" w:hAnsi="Arial"/>
      <w:sz w:val="24"/>
      <w:szCs w:val="24"/>
      <w:lang w:val="en-US" w:eastAsia="en-US"/>
    </w:rPr>
  </w:style>
  <w:style w:type="paragraph" w:styleId="DocumentMap">
    <w:name w:val="Document Map"/>
    <w:basedOn w:val="Normal"/>
    <w:link w:val="DocumentMapChar"/>
    <w:rsid w:val="00741AEB"/>
    <w:pPr>
      <w:shd w:val="clear" w:color="auto" w:fill="000080"/>
    </w:pPr>
    <w:rPr>
      <w:rFonts w:ascii="Tahoma" w:hAnsi="Tahoma" w:cs="Tahoma"/>
    </w:rPr>
  </w:style>
  <w:style w:type="character" w:customStyle="1" w:styleId="DocumentMapChar">
    <w:name w:val="Document Map Char"/>
    <w:basedOn w:val="DefaultParagraphFont"/>
    <w:link w:val="DocumentMap"/>
    <w:rsid w:val="00741AEB"/>
    <w:rPr>
      <w:rFonts w:ascii="Tahoma" w:hAnsi="Tahoma" w:cs="Tahoma"/>
      <w:sz w:val="24"/>
      <w:shd w:val="clear" w:color="auto" w:fill="000080"/>
      <w:lang w:eastAsia="en-US"/>
    </w:rPr>
  </w:style>
  <w:style w:type="character" w:customStyle="1" w:styleId="Heading3Char">
    <w:name w:val="Heading 3 Char"/>
    <w:rsid w:val="00741AEB"/>
    <w:rPr>
      <w:rFonts w:ascii="Arial" w:hAnsi="Arial" w:cs="Arial"/>
      <w:b/>
      <w:bCs/>
      <w:i/>
      <w:sz w:val="24"/>
      <w:szCs w:val="28"/>
      <w:lang w:val="en-GB" w:eastAsia="en-US" w:bidi="ar-SA"/>
    </w:rPr>
  </w:style>
  <w:style w:type="paragraph" w:customStyle="1" w:styleId="Style12ptJustified">
    <w:name w:val="Style 12 pt Justified"/>
    <w:basedOn w:val="Normal"/>
    <w:rsid w:val="00741AEB"/>
  </w:style>
  <w:style w:type="paragraph" w:customStyle="1" w:styleId="Style12ptLinespacing15lines">
    <w:name w:val="Style 12 pt Line spacing:  1.5 lines"/>
    <w:basedOn w:val="Normal"/>
    <w:rsid w:val="00741AEB"/>
  </w:style>
  <w:style w:type="paragraph" w:customStyle="1" w:styleId="Style12ptJustified1">
    <w:name w:val="Style 12 pt Justified1"/>
    <w:basedOn w:val="Normal"/>
    <w:rsid w:val="00741AEB"/>
  </w:style>
  <w:style w:type="paragraph" w:customStyle="1" w:styleId="Style12ptJustified2">
    <w:name w:val="Style 12 pt Justified2"/>
    <w:basedOn w:val="Normal"/>
    <w:rsid w:val="00741AEB"/>
  </w:style>
  <w:style w:type="paragraph" w:customStyle="1" w:styleId="Style12ptJustified3">
    <w:name w:val="Style 12 pt Justified3"/>
    <w:basedOn w:val="Normal"/>
    <w:rsid w:val="00741AEB"/>
  </w:style>
  <w:style w:type="paragraph" w:styleId="BalloonText">
    <w:name w:val="Balloon Text"/>
    <w:basedOn w:val="Normal"/>
    <w:link w:val="BalloonTextChar"/>
    <w:rsid w:val="00741AEB"/>
    <w:rPr>
      <w:rFonts w:ascii="Tahoma" w:hAnsi="Tahoma" w:cs="Tahoma"/>
      <w:sz w:val="16"/>
      <w:szCs w:val="16"/>
    </w:rPr>
  </w:style>
  <w:style w:type="character" w:customStyle="1" w:styleId="BalloonTextChar">
    <w:name w:val="Balloon Text Char"/>
    <w:basedOn w:val="DefaultParagraphFont"/>
    <w:link w:val="BalloonText"/>
    <w:rsid w:val="00741AEB"/>
    <w:rPr>
      <w:rFonts w:ascii="Tahoma" w:hAnsi="Tahoma" w:cs="Tahoma"/>
      <w:sz w:val="16"/>
      <w:szCs w:val="16"/>
      <w:lang w:eastAsia="en-US"/>
    </w:rPr>
  </w:style>
  <w:style w:type="paragraph" w:customStyle="1" w:styleId="StyleJustified">
    <w:name w:val="Style Justified"/>
    <w:basedOn w:val="Normal"/>
    <w:next w:val="Normal"/>
    <w:rsid w:val="00741AEB"/>
    <w:rPr>
      <w:szCs w:val="24"/>
    </w:rPr>
  </w:style>
  <w:style w:type="character" w:customStyle="1" w:styleId="HeaderChar">
    <w:name w:val="Header Char"/>
    <w:link w:val="Header"/>
    <w:uiPriority w:val="99"/>
    <w:rsid w:val="00741AEB"/>
    <w:rPr>
      <w:rFonts w:ascii="Arial" w:hAnsi="Arial"/>
      <w:sz w:val="24"/>
      <w:lang w:eastAsia="en-US"/>
    </w:rPr>
  </w:style>
  <w:style w:type="paragraph" w:customStyle="1" w:styleId="CharCharCharChar2">
    <w:name w:val="Char Char Char Char2"/>
    <w:basedOn w:val="Normal"/>
    <w:locked/>
    <w:rsid w:val="00741AEB"/>
    <w:pPr>
      <w:spacing w:after="160" w:line="240" w:lineRule="exact"/>
    </w:pPr>
    <w:rPr>
      <w:rFonts w:ascii="Verdana" w:eastAsia="MS ??" w:hAnsi="Verdana" w:cs="Verdana"/>
      <w:sz w:val="20"/>
      <w:lang w:val="en-US"/>
    </w:rPr>
  </w:style>
  <w:style w:type="paragraph" w:styleId="BodyText3">
    <w:name w:val="Body Text 3"/>
    <w:basedOn w:val="Normal"/>
    <w:link w:val="BodyText3Char"/>
    <w:rsid w:val="00741AEB"/>
    <w:pPr>
      <w:spacing w:after="120"/>
    </w:pPr>
    <w:rPr>
      <w:sz w:val="16"/>
      <w:szCs w:val="16"/>
    </w:rPr>
  </w:style>
  <w:style w:type="character" w:customStyle="1" w:styleId="BodyText3Char">
    <w:name w:val="Body Text 3 Char"/>
    <w:basedOn w:val="DefaultParagraphFont"/>
    <w:link w:val="BodyText3"/>
    <w:rsid w:val="00741AEB"/>
    <w:rPr>
      <w:rFonts w:ascii="Arial" w:hAnsi="Arial"/>
      <w:sz w:val="16"/>
      <w:szCs w:val="16"/>
      <w:lang w:eastAsia="en-US"/>
    </w:rPr>
  </w:style>
  <w:style w:type="paragraph" w:customStyle="1" w:styleId="CharCharCharCharCharCharCharChar1">
    <w:name w:val="Char Char Char Char Char Char Char Char1"/>
    <w:basedOn w:val="Normal"/>
    <w:rsid w:val="00741AEB"/>
    <w:pPr>
      <w:spacing w:after="160" w:line="240" w:lineRule="exact"/>
    </w:pPr>
    <w:rPr>
      <w:rFonts w:cs="Arial"/>
    </w:rPr>
  </w:style>
  <w:style w:type="character" w:styleId="FollowedHyperlink">
    <w:name w:val="FollowedHyperlink"/>
    <w:uiPriority w:val="99"/>
    <w:unhideWhenUsed/>
    <w:rsid w:val="00741AEB"/>
    <w:rPr>
      <w:color w:val="800080"/>
      <w:u w:val="single"/>
    </w:rPr>
  </w:style>
  <w:style w:type="paragraph" w:styleId="ListParagraph">
    <w:name w:val="List Paragraph"/>
    <w:basedOn w:val="Normal"/>
    <w:uiPriority w:val="34"/>
    <w:qFormat/>
    <w:rsid w:val="00741AEB"/>
    <w:pPr>
      <w:ind w:left="720"/>
    </w:pPr>
  </w:style>
  <w:style w:type="paragraph" w:customStyle="1" w:styleId="CharCharCharChar5">
    <w:name w:val="Char Char Char Char5"/>
    <w:basedOn w:val="Normal"/>
    <w:locked/>
    <w:rsid w:val="00741AEB"/>
    <w:pPr>
      <w:spacing w:after="160" w:line="240" w:lineRule="exact"/>
    </w:pPr>
    <w:rPr>
      <w:rFonts w:ascii="Verdana" w:hAnsi="Verdana"/>
      <w:sz w:val="20"/>
      <w:lang w:val="en-US"/>
    </w:rPr>
  </w:style>
  <w:style w:type="character" w:styleId="CommentReference">
    <w:name w:val="annotation reference"/>
    <w:rsid w:val="00741AEB"/>
    <w:rPr>
      <w:sz w:val="16"/>
      <w:szCs w:val="16"/>
    </w:rPr>
  </w:style>
  <w:style w:type="paragraph" w:styleId="CommentText">
    <w:name w:val="annotation text"/>
    <w:basedOn w:val="Normal"/>
    <w:link w:val="CommentTextChar"/>
    <w:rsid w:val="00741AEB"/>
    <w:rPr>
      <w:sz w:val="20"/>
    </w:rPr>
  </w:style>
  <w:style w:type="character" w:customStyle="1" w:styleId="CommentTextChar">
    <w:name w:val="Comment Text Char"/>
    <w:basedOn w:val="DefaultParagraphFont"/>
    <w:link w:val="CommentText"/>
    <w:rsid w:val="00741AEB"/>
    <w:rPr>
      <w:rFonts w:ascii="Arial" w:hAnsi="Arial"/>
      <w:lang w:eastAsia="en-US"/>
    </w:rPr>
  </w:style>
  <w:style w:type="paragraph" w:styleId="CommentSubject">
    <w:name w:val="annotation subject"/>
    <w:basedOn w:val="CommentText"/>
    <w:next w:val="CommentText"/>
    <w:link w:val="CommentSubjectChar"/>
    <w:rsid w:val="00741AEB"/>
    <w:rPr>
      <w:b/>
      <w:bCs/>
    </w:rPr>
  </w:style>
  <w:style w:type="character" w:customStyle="1" w:styleId="CommentSubjectChar">
    <w:name w:val="Comment Subject Char"/>
    <w:basedOn w:val="CommentTextChar"/>
    <w:link w:val="CommentSubject"/>
    <w:rsid w:val="00741AEB"/>
    <w:rPr>
      <w:rFonts w:ascii="Arial" w:hAnsi="Arial"/>
      <w:b/>
      <w:bCs/>
      <w:lang w:eastAsia="en-US"/>
    </w:rPr>
  </w:style>
  <w:style w:type="paragraph" w:customStyle="1" w:styleId="xl65">
    <w:name w:val="xl65"/>
    <w:basedOn w:val="Normal"/>
    <w:rsid w:val="00741AEB"/>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0"/>
      <w:lang w:eastAsia="en-GB"/>
    </w:rPr>
  </w:style>
  <w:style w:type="paragraph" w:customStyle="1" w:styleId="xl66">
    <w:name w:val="xl66"/>
    <w:basedOn w:val="Normal"/>
    <w:rsid w:val="00741AEB"/>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sz w:val="20"/>
      <w:lang w:eastAsia="en-GB"/>
    </w:rPr>
  </w:style>
  <w:style w:type="paragraph" w:customStyle="1" w:styleId="xl67">
    <w:name w:val="xl67"/>
    <w:basedOn w:val="Normal"/>
    <w:rsid w:val="00741AEB"/>
    <w:pPr>
      <w:pBdr>
        <w:top w:val="single" w:sz="4" w:space="0" w:color="auto"/>
        <w:left w:val="single" w:sz="4" w:space="0" w:color="auto"/>
        <w:bottom w:val="single" w:sz="4" w:space="0" w:color="auto"/>
        <w:right w:val="single" w:sz="4" w:space="0" w:color="auto"/>
      </w:pBdr>
      <w:shd w:val="clear" w:color="CCCCFF" w:fill="C0C0C0"/>
      <w:spacing w:before="100" w:beforeAutospacing="1" w:after="100" w:afterAutospacing="1"/>
    </w:pPr>
    <w:rPr>
      <w:rFonts w:ascii="Times New Roman" w:hAnsi="Times New Roman"/>
      <w:b/>
      <w:bCs/>
      <w:sz w:val="20"/>
      <w:lang w:eastAsia="en-GB"/>
    </w:rPr>
  </w:style>
  <w:style w:type="paragraph" w:customStyle="1" w:styleId="xl68">
    <w:name w:val="xl68"/>
    <w:basedOn w:val="Normal"/>
    <w:rsid w:val="00741AEB"/>
    <w:pPr>
      <w:pBdr>
        <w:top w:val="single" w:sz="4" w:space="0" w:color="auto"/>
        <w:left w:val="single" w:sz="4" w:space="0" w:color="auto"/>
        <w:bottom w:val="single" w:sz="4" w:space="0" w:color="auto"/>
        <w:right w:val="single" w:sz="4" w:space="0" w:color="auto"/>
      </w:pBdr>
      <w:shd w:val="clear" w:color="CCCCFF" w:fill="C0C0C0"/>
      <w:spacing w:before="100" w:beforeAutospacing="1" w:after="100" w:afterAutospacing="1"/>
      <w:jc w:val="right"/>
    </w:pPr>
    <w:rPr>
      <w:rFonts w:ascii="Times New Roman" w:hAnsi="Times New Roman"/>
      <w:b/>
      <w:bCs/>
      <w:sz w:val="20"/>
      <w:lang w:eastAsia="en-GB"/>
    </w:rPr>
  </w:style>
  <w:style w:type="paragraph" w:customStyle="1" w:styleId="xl69">
    <w:name w:val="xl69"/>
    <w:basedOn w:val="Normal"/>
    <w:rsid w:val="00741AEB"/>
    <w:pPr>
      <w:pBdr>
        <w:top w:val="single" w:sz="4" w:space="0" w:color="auto"/>
        <w:left w:val="single" w:sz="4" w:space="0" w:color="auto"/>
        <w:bottom w:val="single" w:sz="4" w:space="0" w:color="auto"/>
        <w:right w:val="single" w:sz="4" w:space="0" w:color="auto"/>
      </w:pBdr>
      <w:shd w:val="clear" w:color="CCCCFF" w:fill="C0C0C0"/>
      <w:spacing w:before="100" w:beforeAutospacing="1" w:after="100" w:afterAutospacing="1"/>
      <w:jc w:val="center"/>
    </w:pPr>
    <w:rPr>
      <w:rFonts w:ascii="Times New Roman" w:hAnsi="Times New Roman"/>
      <w:b/>
      <w:bCs/>
      <w:sz w:val="20"/>
      <w:lang w:eastAsia="en-GB"/>
    </w:rPr>
  </w:style>
  <w:style w:type="paragraph" w:customStyle="1" w:styleId="xl70">
    <w:name w:val="xl70"/>
    <w:basedOn w:val="Normal"/>
    <w:rsid w:val="00741AEB"/>
    <w:pPr>
      <w:pBdr>
        <w:top w:val="single" w:sz="4" w:space="0" w:color="auto"/>
        <w:left w:val="single" w:sz="4" w:space="0" w:color="auto"/>
        <w:bottom w:val="single" w:sz="4" w:space="0" w:color="auto"/>
        <w:right w:val="single" w:sz="4" w:space="0" w:color="auto"/>
      </w:pBdr>
      <w:shd w:val="clear" w:color="CCCCFF" w:fill="C0C0C0"/>
      <w:spacing w:before="100" w:beforeAutospacing="1" w:after="100" w:afterAutospacing="1"/>
      <w:textAlignment w:val="top"/>
    </w:pPr>
    <w:rPr>
      <w:rFonts w:ascii="Times New Roman" w:hAnsi="Times New Roman"/>
      <w:szCs w:val="24"/>
      <w:lang w:eastAsia="en-GB"/>
    </w:rPr>
  </w:style>
  <w:style w:type="paragraph" w:customStyle="1" w:styleId="xl71">
    <w:name w:val="xl71"/>
    <w:basedOn w:val="Normal"/>
    <w:rsid w:val="00741AEB"/>
    <w:pPr>
      <w:pBdr>
        <w:top w:val="single" w:sz="4" w:space="0" w:color="auto"/>
        <w:left w:val="single" w:sz="4" w:space="0" w:color="auto"/>
        <w:bottom w:val="single" w:sz="4" w:space="0" w:color="auto"/>
        <w:right w:val="single" w:sz="4" w:space="0" w:color="auto"/>
      </w:pBdr>
      <w:shd w:val="clear" w:color="CCCCFF" w:fill="C0C0C0"/>
      <w:spacing w:before="100" w:beforeAutospacing="1" w:after="100" w:afterAutospacing="1"/>
      <w:jc w:val="center"/>
    </w:pPr>
    <w:rPr>
      <w:rFonts w:ascii="Times New Roman" w:hAnsi="Times New Roman"/>
      <w:sz w:val="20"/>
      <w:lang w:eastAsia="en-GB"/>
    </w:rPr>
  </w:style>
  <w:style w:type="paragraph" w:customStyle="1" w:styleId="xl72">
    <w:name w:val="xl72"/>
    <w:basedOn w:val="Normal"/>
    <w:rsid w:val="00741AE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 w:val="20"/>
      <w:lang w:eastAsia="en-GB"/>
    </w:rPr>
  </w:style>
  <w:style w:type="paragraph" w:customStyle="1" w:styleId="xl73">
    <w:name w:val="xl73"/>
    <w:basedOn w:val="Normal"/>
    <w:rsid w:val="00741AE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bCs/>
      <w:sz w:val="20"/>
      <w:lang w:eastAsia="en-GB"/>
    </w:rPr>
  </w:style>
  <w:style w:type="paragraph" w:customStyle="1" w:styleId="xl74">
    <w:name w:val="xl74"/>
    <w:basedOn w:val="Normal"/>
    <w:rsid w:val="00741AE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 w:val="20"/>
      <w:lang w:eastAsia="en-GB"/>
    </w:rPr>
  </w:style>
  <w:style w:type="paragraph" w:customStyle="1" w:styleId="xl75">
    <w:name w:val="xl75"/>
    <w:basedOn w:val="Normal"/>
    <w:rsid w:val="00741AE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 w:val="20"/>
      <w:lang w:eastAsia="en-GB"/>
    </w:rPr>
  </w:style>
  <w:style w:type="paragraph" w:customStyle="1" w:styleId="xl76">
    <w:name w:val="xl76"/>
    <w:basedOn w:val="Normal"/>
    <w:rsid w:val="00741AE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 w:val="20"/>
      <w:lang w:eastAsia="en-GB"/>
    </w:rPr>
  </w:style>
  <w:style w:type="paragraph" w:customStyle="1" w:styleId="xl77">
    <w:name w:val="xl77"/>
    <w:basedOn w:val="Normal"/>
    <w:rsid w:val="00741AEB"/>
    <w:pPr>
      <w:pBdr>
        <w:top w:val="single" w:sz="4" w:space="0" w:color="auto"/>
        <w:left w:val="single" w:sz="4" w:space="0" w:color="auto"/>
        <w:bottom w:val="single" w:sz="4" w:space="0" w:color="auto"/>
        <w:right w:val="single" w:sz="4" w:space="0" w:color="auto"/>
      </w:pBdr>
      <w:shd w:val="clear" w:color="000000" w:fill="FF6600"/>
      <w:spacing w:before="100" w:beforeAutospacing="1" w:after="100" w:afterAutospacing="1"/>
      <w:textAlignment w:val="center"/>
    </w:pPr>
    <w:rPr>
      <w:rFonts w:ascii="Times New Roman" w:hAnsi="Times New Roman"/>
      <w:sz w:val="20"/>
      <w:lang w:eastAsia="en-GB"/>
    </w:rPr>
  </w:style>
  <w:style w:type="paragraph" w:customStyle="1" w:styleId="xl78">
    <w:name w:val="xl78"/>
    <w:basedOn w:val="Normal"/>
    <w:rsid w:val="00741AEB"/>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rPr>
      <w:rFonts w:ascii="Times New Roman" w:hAnsi="Times New Roman"/>
      <w:b/>
      <w:bCs/>
      <w:sz w:val="20"/>
      <w:lang w:eastAsia="en-GB"/>
    </w:rPr>
  </w:style>
  <w:style w:type="paragraph" w:customStyle="1" w:styleId="xl79">
    <w:name w:val="xl79"/>
    <w:basedOn w:val="Normal"/>
    <w:rsid w:val="00741AEB"/>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rPr>
      <w:rFonts w:ascii="Times New Roman" w:hAnsi="Times New Roman"/>
      <w:b/>
      <w:bCs/>
      <w:sz w:val="20"/>
      <w:lang w:eastAsia="en-GB"/>
    </w:rPr>
  </w:style>
  <w:style w:type="paragraph" w:customStyle="1" w:styleId="xl80">
    <w:name w:val="xl80"/>
    <w:basedOn w:val="Normal"/>
    <w:rsid w:val="00741AE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bCs/>
      <w:sz w:val="20"/>
      <w:lang w:eastAsia="en-GB"/>
    </w:rPr>
  </w:style>
  <w:style w:type="paragraph" w:customStyle="1" w:styleId="xl81">
    <w:name w:val="xl81"/>
    <w:basedOn w:val="Normal"/>
    <w:rsid w:val="00741A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sz w:val="20"/>
      <w:lang w:eastAsia="en-GB"/>
    </w:rPr>
  </w:style>
  <w:style w:type="paragraph" w:customStyle="1" w:styleId="xl82">
    <w:name w:val="xl82"/>
    <w:basedOn w:val="Normal"/>
    <w:rsid w:val="00741A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Cs w:val="24"/>
      <w:lang w:eastAsia="en-GB"/>
    </w:rPr>
  </w:style>
  <w:style w:type="paragraph" w:customStyle="1" w:styleId="xl83">
    <w:name w:val="xl83"/>
    <w:basedOn w:val="Normal"/>
    <w:rsid w:val="00741AEB"/>
    <w:pPr>
      <w:spacing w:before="100" w:beforeAutospacing="1" w:after="100" w:afterAutospacing="1"/>
    </w:pPr>
    <w:rPr>
      <w:rFonts w:ascii="Times New Roman" w:hAnsi="Times New Roman"/>
      <w:szCs w:val="24"/>
      <w:lang w:eastAsia="en-GB"/>
    </w:rPr>
  </w:style>
  <w:style w:type="paragraph" w:customStyle="1" w:styleId="xl84">
    <w:name w:val="xl84"/>
    <w:basedOn w:val="Normal"/>
    <w:rsid w:val="00741AEB"/>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Cs w:val="24"/>
      <w:lang w:eastAsia="en-GB"/>
    </w:rPr>
  </w:style>
  <w:style w:type="paragraph" w:customStyle="1" w:styleId="xl85">
    <w:name w:val="xl85"/>
    <w:basedOn w:val="Normal"/>
    <w:rsid w:val="00741AEB"/>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Cs w:val="24"/>
      <w:lang w:eastAsia="en-GB"/>
    </w:rPr>
  </w:style>
  <w:style w:type="paragraph" w:customStyle="1" w:styleId="xl86">
    <w:name w:val="xl86"/>
    <w:basedOn w:val="Normal"/>
    <w:rsid w:val="00741AE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 w:val="20"/>
      <w:lang w:eastAsia="en-GB"/>
    </w:rPr>
  </w:style>
  <w:style w:type="paragraph" w:customStyle="1" w:styleId="xl87">
    <w:name w:val="xl87"/>
    <w:basedOn w:val="Normal"/>
    <w:rsid w:val="00741AE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bCs/>
      <w:sz w:val="20"/>
      <w:lang w:eastAsia="en-GB"/>
    </w:rPr>
  </w:style>
  <w:style w:type="paragraph" w:customStyle="1" w:styleId="xl88">
    <w:name w:val="xl88"/>
    <w:basedOn w:val="Normal"/>
    <w:rsid w:val="00741AEB"/>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szCs w:val="24"/>
      <w:lang w:eastAsia="en-GB"/>
    </w:rPr>
  </w:style>
  <w:style w:type="paragraph" w:customStyle="1" w:styleId="xl89">
    <w:name w:val="xl89"/>
    <w:basedOn w:val="Normal"/>
    <w:rsid w:val="00741AEB"/>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szCs w:val="24"/>
      <w:lang w:eastAsia="en-GB"/>
    </w:rPr>
  </w:style>
  <w:style w:type="paragraph" w:customStyle="1" w:styleId="xl90">
    <w:name w:val="xl90"/>
    <w:basedOn w:val="Normal"/>
    <w:rsid w:val="00741A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hAnsi="Times New Roman"/>
      <w:b/>
      <w:bCs/>
      <w:sz w:val="20"/>
      <w:lang w:eastAsia="en-GB"/>
    </w:rPr>
  </w:style>
  <w:style w:type="paragraph" w:customStyle="1" w:styleId="xl91">
    <w:name w:val="xl91"/>
    <w:basedOn w:val="Normal"/>
    <w:rsid w:val="00741AEB"/>
    <w:pPr>
      <w:spacing w:before="100" w:beforeAutospacing="1" w:after="100" w:afterAutospacing="1"/>
    </w:pPr>
    <w:rPr>
      <w:rFonts w:ascii="Times New Roman" w:hAnsi="Times New Roman"/>
      <w:b/>
      <w:bCs/>
      <w:szCs w:val="24"/>
      <w:lang w:eastAsia="en-GB"/>
    </w:rPr>
  </w:style>
  <w:style w:type="paragraph" w:customStyle="1" w:styleId="xl92">
    <w:name w:val="xl92"/>
    <w:basedOn w:val="Normal"/>
    <w:rsid w:val="00741AEB"/>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textAlignment w:val="center"/>
    </w:pPr>
    <w:rPr>
      <w:rFonts w:ascii="Times New Roman" w:hAnsi="Times New Roman"/>
      <w:sz w:val="20"/>
      <w:lang w:eastAsia="en-GB"/>
    </w:rPr>
  </w:style>
  <w:style w:type="paragraph" w:customStyle="1" w:styleId="xl93">
    <w:name w:val="xl93"/>
    <w:basedOn w:val="Normal"/>
    <w:rsid w:val="00741AEB"/>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center"/>
    </w:pPr>
    <w:rPr>
      <w:rFonts w:ascii="Times New Roman" w:hAnsi="Times New Roman"/>
      <w:sz w:val="20"/>
      <w:lang w:eastAsia="en-GB"/>
    </w:rPr>
  </w:style>
  <w:style w:type="paragraph" w:customStyle="1" w:styleId="xl94">
    <w:name w:val="xl94"/>
    <w:basedOn w:val="Normal"/>
    <w:rsid w:val="00741AEB"/>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center"/>
    </w:pPr>
    <w:rPr>
      <w:rFonts w:ascii="Times New Roman" w:hAnsi="Times New Roman"/>
      <w:sz w:val="20"/>
      <w:lang w:eastAsia="en-GB"/>
    </w:rPr>
  </w:style>
  <w:style w:type="paragraph" w:customStyle="1" w:styleId="xl95">
    <w:name w:val="xl95"/>
    <w:basedOn w:val="Normal"/>
    <w:rsid w:val="00741AEB"/>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rFonts w:ascii="Times New Roman" w:hAnsi="Times New Roman"/>
      <w:szCs w:val="24"/>
      <w:lang w:eastAsia="en-GB"/>
    </w:rPr>
  </w:style>
  <w:style w:type="paragraph" w:customStyle="1" w:styleId="xl96">
    <w:name w:val="xl96"/>
    <w:basedOn w:val="Normal"/>
    <w:rsid w:val="00741AEB"/>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pPr>
    <w:rPr>
      <w:rFonts w:ascii="Times New Roman" w:hAnsi="Times New Roman"/>
      <w:szCs w:val="24"/>
      <w:lang w:eastAsia="en-GB"/>
    </w:rPr>
  </w:style>
  <w:style w:type="paragraph" w:customStyle="1" w:styleId="xl97">
    <w:name w:val="xl97"/>
    <w:basedOn w:val="Normal"/>
    <w:rsid w:val="00741AEB"/>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pPr>
    <w:rPr>
      <w:rFonts w:ascii="Times New Roman" w:hAnsi="Times New Roman"/>
      <w:szCs w:val="24"/>
      <w:lang w:eastAsia="en-GB"/>
    </w:rPr>
  </w:style>
  <w:style w:type="paragraph" w:customStyle="1" w:styleId="xl98">
    <w:name w:val="xl98"/>
    <w:basedOn w:val="Normal"/>
    <w:rsid w:val="00741A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hAnsi="Times New Roman"/>
      <w:sz w:val="20"/>
      <w:lang w:eastAsia="en-GB"/>
    </w:rPr>
  </w:style>
  <w:style w:type="paragraph" w:customStyle="1" w:styleId="xl99">
    <w:name w:val="xl99"/>
    <w:basedOn w:val="Normal"/>
    <w:rsid w:val="00741AEB"/>
    <w:pPr>
      <w:pBdr>
        <w:top w:val="single" w:sz="4" w:space="0" w:color="auto"/>
        <w:left w:val="single" w:sz="4" w:space="0" w:color="auto"/>
        <w:bottom w:val="single" w:sz="4" w:space="0" w:color="auto"/>
        <w:right w:val="single" w:sz="4" w:space="0" w:color="auto"/>
      </w:pBdr>
      <w:shd w:val="clear" w:color="000000" w:fill="C00000"/>
      <w:spacing w:before="100" w:beforeAutospacing="1" w:after="100" w:afterAutospacing="1"/>
      <w:textAlignment w:val="center"/>
    </w:pPr>
    <w:rPr>
      <w:rFonts w:ascii="Times New Roman" w:hAnsi="Times New Roman"/>
      <w:sz w:val="20"/>
      <w:lang w:eastAsia="en-GB"/>
    </w:rPr>
  </w:style>
  <w:style w:type="paragraph" w:customStyle="1" w:styleId="xl100">
    <w:name w:val="xl100"/>
    <w:basedOn w:val="Normal"/>
    <w:rsid w:val="00741AEB"/>
    <w:pPr>
      <w:pBdr>
        <w:top w:val="single" w:sz="4" w:space="0" w:color="auto"/>
        <w:left w:val="single" w:sz="4" w:space="0" w:color="auto"/>
        <w:bottom w:val="single" w:sz="4" w:space="0" w:color="auto"/>
        <w:right w:val="single" w:sz="4" w:space="0" w:color="auto"/>
      </w:pBdr>
      <w:shd w:val="clear" w:color="CCCCFF" w:fill="C0C0C0"/>
      <w:spacing w:before="100" w:beforeAutospacing="1" w:after="100" w:afterAutospacing="1"/>
      <w:textAlignment w:val="top"/>
    </w:pPr>
    <w:rPr>
      <w:rFonts w:ascii="Times New Roman" w:hAnsi="Times New Roman"/>
      <w:b/>
      <w:bCs/>
      <w:sz w:val="20"/>
      <w:lang w:eastAsia="en-GB"/>
    </w:rPr>
  </w:style>
  <w:style w:type="paragraph" w:customStyle="1" w:styleId="xl101">
    <w:name w:val="xl101"/>
    <w:basedOn w:val="Normal"/>
    <w:rsid w:val="00741AEB"/>
    <w:pPr>
      <w:spacing w:before="100" w:beforeAutospacing="1" w:after="100" w:afterAutospacing="1"/>
    </w:pPr>
    <w:rPr>
      <w:rFonts w:ascii="Times New Roman" w:hAnsi="Times New Roman"/>
      <w:sz w:val="20"/>
      <w:lang w:eastAsia="en-GB"/>
    </w:rPr>
  </w:style>
  <w:style w:type="paragraph" w:customStyle="1" w:styleId="xl102">
    <w:name w:val="xl102"/>
    <w:basedOn w:val="Normal"/>
    <w:rsid w:val="00741AEB"/>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0"/>
      <w:lang w:eastAsia="en-GB"/>
    </w:rPr>
  </w:style>
  <w:style w:type="paragraph" w:customStyle="1" w:styleId="xl103">
    <w:name w:val="xl103"/>
    <w:basedOn w:val="Normal"/>
    <w:rsid w:val="00741AE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sz w:val="20"/>
      <w:lang w:eastAsia="en-GB"/>
    </w:rPr>
  </w:style>
  <w:style w:type="paragraph" w:customStyle="1" w:styleId="xl104">
    <w:name w:val="xl104"/>
    <w:basedOn w:val="Normal"/>
    <w:rsid w:val="00741AEB"/>
    <w:pPr>
      <w:pBdr>
        <w:top w:val="single" w:sz="4" w:space="0" w:color="auto"/>
        <w:left w:val="single" w:sz="4" w:space="0" w:color="auto"/>
        <w:right w:val="single" w:sz="4" w:space="0" w:color="auto"/>
      </w:pBdr>
      <w:spacing w:before="100" w:beforeAutospacing="1" w:after="100" w:afterAutospacing="1"/>
      <w:textAlignment w:val="center"/>
    </w:pPr>
    <w:rPr>
      <w:rFonts w:ascii="Times New Roman" w:hAnsi="Times New Roman"/>
      <w:sz w:val="20"/>
      <w:lang w:eastAsia="en-GB"/>
    </w:rPr>
  </w:style>
  <w:style w:type="paragraph" w:customStyle="1" w:styleId="xl105">
    <w:name w:val="xl105"/>
    <w:basedOn w:val="Normal"/>
    <w:rsid w:val="00741AEB"/>
    <w:pPr>
      <w:pBdr>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 w:val="20"/>
      <w:lang w:eastAsia="en-GB"/>
    </w:rPr>
  </w:style>
  <w:style w:type="paragraph" w:customStyle="1" w:styleId="CharCharCharChar4">
    <w:name w:val="Char Char Char Char4"/>
    <w:basedOn w:val="Normal"/>
    <w:locked/>
    <w:rsid w:val="00DC5AEC"/>
    <w:pPr>
      <w:spacing w:after="160" w:line="240" w:lineRule="exact"/>
    </w:pPr>
    <w:rPr>
      <w:rFonts w:ascii="Verdana" w:hAnsi="Verdana"/>
      <w:sz w:val="20"/>
      <w:lang w:val="en-US"/>
    </w:rPr>
  </w:style>
  <w:style w:type="paragraph" w:styleId="Revision">
    <w:name w:val="Revision"/>
    <w:hidden/>
    <w:uiPriority w:val="99"/>
    <w:semiHidden/>
    <w:rsid w:val="00F71F33"/>
    <w:rPr>
      <w:rFonts w:ascii="Arial" w:hAnsi="Arial"/>
      <w:sz w:val="24"/>
      <w:lang w:eastAsia="en-US"/>
    </w:rPr>
  </w:style>
  <w:style w:type="paragraph" w:customStyle="1" w:styleId="Default">
    <w:name w:val="Default"/>
    <w:rsid w:val="0062479E"/>
    <w:pPr>
      <w:autoSpaceDE w:val="0"/>
      <w:autoSpaceDN w:val="0"/>
      <w:adjustRightInd w:val="0"/>
    </w:pPr>
    <w:rPr>
      <w:rFonts w:ascii="Arial" w:eastAsia="Calibri" w:hAnsi="Arial" w:cs="Arial"/>
      <w:color w:val="000000"/>
      <w:sz w:val="24"/>
      <w:szCs w:val="24"/>
    </w:rPr>
  </w:style>
  <w:style w:type="paragraph" w:customStyle="1" w:styleId="CharCharCharChar3">
    <w:name w:val="Char Char Char Char3"/>
    <w:basedOn w:val="Normal"/>
    <w:locked/>
    <w:rsid w:val="00E121EB"/>
    <w:pPr>
      <w:spacing w:after="160" w:line="240" w:lineRule="exact"/>
    </w:pPr>
    <w:rPr>
      <w:rFonts w:ascii="Verdana" w:hAnsi="Verdana"/>
      <w:sz w:val="20"/>
      <w:lang w:val="en-US"/>
    </w:rPr>
  </w:style>
  <w:style w:type="paragraph" w:customStyle="1" w:styleId="CharCharCharChar1">
    <w:name w:val="Char Char Char Char1"/>
    <w:basedOn w:val="Normal"/>
    <w:locked/>
    <w:rsid w:val="00E662CB"/>
    <w:pPr>
      <w:spacing w:after="160" w:line="240" w:lineRule="exact"/>
    </w:pPr>
    <w:rPr>
      <w:rFonts w:ascii="Verdana" w:hAnsi="Verdana"/>
      <w:sz w:val="20"/>
      <w:lang w:val="en-US"/>
    </w:rPr>
  </w:style>
  <w:style w:type="character" w:styleId="LineNumber">
    <w:name w:val="line number"/>
    <w:basedOn w:val="DefaultParagraphFont"/>
    <w:rsid w:val="00D73C5B"/>
  </w:style>
  <w:style w:type="paragraph" w:customStyle="1" w:styleId="CharCharCharChar6">
    <w:name w:val="Char Char Char Char6"/>
    <w:basedOn w:val="Normal"/>
    <w:locked/>
    <w:rsid w:val="005A04AE"/>
    <w:pPr>
      <w:spacing w:after="160" w:line="240" w:lineRule="exact"/>
    </w:pPr>
    <w:rPr>
      <w:rFonts w:ascii="Verdana" w:hAnsi="Verdana"/>
      <w:sz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6422F"/>
    <w:rPr>
      <w:rFonts w:ascii="Arial" w:hAnsi="Arial"/>
      <w:sz w:val="24"/>
      <w:lang w:eastAsia="en-US"/>
    </w:rPr>
  </w:style>
  <w:style w:type="paragraph" w:styleId="Heading1">
    <w:name w:val="heading 1"/>
    <w:basedOn w:val="Heading2"/>
    <w:next w:val="Normal"/>
    <w:qFormat/>
    <w:rsid w:val="00333FAA"/>
    <w:pPr>
      <w:outlineLvl w:val="0"/>
    </w:pPr>
    <w:rPr>
      <w:rFonts w:ascii="Arial Black" w:hAnsi="Arial Black"/>
      <w:b w:val="0"/>
      <w:sz w:val="32"/>
    </w:rPr>
  </w:style>
  <w:style w:type="paragraph" w:styleId="Heading2">
    <w:name w:val="heading 2"/>
    <w:basedOn w:val="Normal"/>
    <w:next w:val="Normal"/>
    <w:qFormat/>
    <w:rsid w:val="00333FAA"/>
    <w:pPr>
      <w:outlineLvl w:val="1"/>
    </w:pPr>
    <w:rPr>
      <w:rFonts w:cs="Arial"/>
      <w:b/>
      <w:bCs/>
      <w:sz w:val="28"/>
      <w:szCs w:val="32"/>
    </w:rPr>
  </w:style>
  <w:style w:type="paragraph" w:styleId="Heading3">
    <w:name w:val="heading 3"/>
    <w:basedOn w:val="Normal"/>
    <w:next w:val="Normal"/>
    <w:qFormat/>
    <w:rsid w:val="00333FAA"/>
    <w:pPr>
      <w:ind w:left="720" w:hanging="720"/>
      <w:jc w:val="both"/>
      <w:outlineLvl w:val="2"/>
    </w:pPr>
    <w:rPr>
      <w:rFonts w:cs="Arial"/>
      <w:b/>
      <w:bCs/>
      <w:i/>
      <w:szCs w:val="28"/>
    </w:rPr>
  </w:style>
  <w:style w:type="paragraph" w:styleId="Heading4">
    <w:name w:val="heading 4"/>
    <w:basedOn w:val="Normal"/>
    <w:next w:val="Normal"/>
    <w:qFormat/>
    <w:rsid w:val="00333FAA"/>
    <w:pPr>
      <w:keepNext/>
      <w:outlineLvl w:val="3"/>
    </w:pPr>
    <w:rPr>
      <w:rFonts w:cs="Arial"/>
      <w:b/>
    </w:rPr>
  </w:style>
  <w:style w:type="paragraph" w:styleId="Heading5">
    <w:name w:val="heading 5"/>
    <w:basedOn w:val="Normal"/>
    <w:next w:val="Normal"/>
    <w:link w:val="Heading5Char"/>
    <w:qFormat/>
    <w:rsid w:val="00741AEB"/>
    <w:pPr>
      <w:keepNext/>
      <w:outlineLvl w:val="4"/>
    </w:pPr>
    <w:rPr>
      <w:rFonts w:cs="Arial"/>
      <w:sz w:val="28"/>
    </w:rPr>
  </w:style>
  <w:style w:type="paragraph" w:styleId="Heading6">
    <w:name w:val="heading 6"/>
    <w:basedOn w:val="Normal"/>
    <w:next w:val="Normal"/>
    <w:link w:val="Heading6Char"/>
    <w:qFormat/>
    <w:rsid w:val="00741AEB"/>
    <w:pPr>
      <w:keepNext/>
      <w:ind w:left="720" w:hanging="720"/>
      <w:outlineLvl w:val="5"/>
    </w:pPr>
    <w:rPr>
      <w:rFonts w:cs="Arial"/>
      <w:b/>
      <w:bCs/>
      <w:sz w:val="28"/>
      <w:szCs w:val="24"/>
    </w:rPr>
  </w:style>
  <w:style w:type="paragraph" w:styleId="Heading7">
    <w:name w:val="heading 7"/>
    <w:basedOn w:val="Normal"/>
    <w:next w:val="Normal"/>
    <w:link w:val="Heading7Char"/>
    <w:qFormat/>
    <w:rsid w:val="00741AEB"/>
    <w:pPr>
      <w:keepNext/>
      <w:ind w:left="720" w:hanging="720"/>
      <w:jc w:val="both"/>
      <w:outlineLvl w:val="6"/>
    </w:pPr>
    <w:rPr>
      <w:rFonts w:cs="Arial"/>
      <w:i/>
      <w:iCs/>
    </w:rPr>
  </w:style>
  <w:style w:type="paragraph" w:styleId="Heading8">
    <w:name w:val="heading 8"/>
    <w:basedOn w:val="Normal"/>
    <w:next w:val="Normal"/>
    <w:link w:val="Heading8Char"/>
    <w:qFormat/>
    <w:rsid w:val="00741AEB"/>
    <w:pPr>
      <w:keepNext/>
      <w:ind w:left="720" w:hanging="720"/>
      <w:outlineLvl w:val="7"/>
    </w:pPr>
    <w:rPr>
      <w:rFonts w:cs="Arial"/>
      <w:i/>
      <w:iCs/>
    </w:rPr>
  </w:style>
  <w:style w:type="paragraph" w:styleId="Heading9">
    <w:name w:val="heading 9"/>
    <w:basedOn w:val="Normal"/>
    <w:next w:val="Normal"/>
    <w:link w:val="Heading9Char"/>
    <w:qFormat/>
    <w:rsid w:val="00741AEB"/>
    <w:pPr>
      <w:keepNext/>
      <w:ind w:left="720" w:hanging="72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33FAA"/>
    <w:pPr>
      <w:tabs>
        <w:tab w:val="center" w:pos="4153"/>
        <w:tab w:val="right" w:pos="8306"/>
      </w:tabs>
    </w:pPr>
    <w:rPr>
      <w:szCs w:val="24"/>
      <w:lang w:val="en-US"/>
    </w:rPr>
  </w:style>
  <w:style w:type="paragraph" w:customStyle="1" w:styleId="Infotext">
    <w:name w:val="Info text"/>
    <w:basedOn w:val="Normal"/>
    <w:rsid w:val="00333FAA"/>
    <w:rPr>
      <w:sz w:val="28"/>
    </w:rPr>
  </w:style>
  <w:style w:type="paragraph" w:styleId="Header">
    <w:name w:val="header"/>
    <w:basedOn w:val="Normal"/>
    <w:link w:val="HeaderChar"/>
    <w:uiPriority w:val="99"/>
    <w:rsid w:val="00333FAA"/>
    <w:pPr>
      <w:tabs>
        <w:tab w:val="center" w:pos="4153"/>
        <w:tab w:val="right" w:pos="8306"/>
      </w:tabs>
    </w:pPr>
  </w:style>
  <w:style w:type="paragraph" w:styleId="FootnoteText">
    <w:name w:val="footnote text"/>
    <w:basedOn w:val="Normal"/>
    <w:semiHidden/>
    <w:rsid w:val="00812901"/>
    <w:rPr>
      <w:rFonts w:ascii="Times New Roman" w:hAnsi="Times New Roman"/>
      <w:sz w:val="20"/>
    </w:rPr>
  </w:style>
  <w:style w:type="paragraph" w:styleId="NormalWeb">
    <w:name w:val="Normal (Web)"/>
    <w:basedOn w:val="Normal"/>
    <w:semiHidden/>
    <w:rsid w:val="00333FAA"/>
    <w:pPr>
      <w:spacing w:before="100" w:beforeAutospacing="1" w:after="300"/>
    </w:pPr>
    <w:rPr>
      <w:rFonts w:ascii="Times New Roman" w:eastAsia="Calibri" w:hAnsi="Times New Roman"/>
      <w:szCs w:val="24"/>
      <w:lang w:val="en-US"/>
    </w:rPr>
  </w:style>
  <w:style w:type="character" w:styleId="Strong">
    <w:name w:val="Strong"/>
    <w:qFormat/>
    <w:rsid w:val="00333FAA"/>
    <w:rPr>
      <w:b/>
      <w:bCs/>
    </w:rPr>
  </w:style>
  <w:style w:type="character" w:styleId="PageNumber">
    <w:name w:val="page number"/>
    <w:basedOn w:val="DefaultParagraphFont"/>
    <w:rsid w:val="00333FAA"/>
  </w:style>
  <w:style w:type="paragraph" w:styleId="BodyText">
    <w:name w:val="Body Text"/>
    <w:basedOn w:val="Normal"/>
    <w:rsid w:val="001C7E35"/>
    <w:rPr>
      <w:rFonts w:cs="Arial"/>
      <w:i/>
      <w:iCs/>
    </w:rPr>
  </w:style>
  <w:style w:type="character" w:styleId="FootnoteReference">
    <w:name w:val="footnote reference"/>
    <w:semiHidden/>
    <w:rsid w:val="001C7E35"/>
    <w:rPr>
      <w:vertAlign w:val="superscript"/>
    </w:rPr>
  </w:style>
  <w:style w:type="character" w:styleId="Hyperlink">
    <w:name w:val="Hyperlink"/>
    <w:uiPriority w:val="99"/>
    <w:rsid w:val="001C7E35"/>
    <w:rPr>
      <w:color w:val="0000FF"/>
      <w:u w:val="single"/>
    </w:rPr>
  </w:style>
  <w:style w:type="table" w:styleId="TableGrid">
    <w:name w:val="Table Grid"/>
    <w:basedOn w:val="TableNormal"/>
    <w:rsid w:val="001966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Char Char Char Char"/>
    <w:basedOn w:val="Normal"/>
    <w:locked/>
    <w:rsid w:val="00812901"/>
    <w:pPr>
      <w:spacing w:after="160" w:line="240" w:lineRule="exact"/>
    </w:pPr>
    <w:rPr>
      <w:rFonts w:ascii="Verdana" w:hAnsi="Verdana"/>
      <w:sz w:val="20"/>
      <w:lang w:val="en-US"/>
    </w:rPr>
  </w:style>
  <w:style w:type="paragraph" w:customStyle="1" w:styleId="Normal2">
    <w:name w:val="Normal2"/>
    <w:rsid w:val="00812901"/>
    <w:rPr>
      <w:rFonts w:ascii="Arial" w:hAnsi="Arial"/>
      <w:sz w:val="22"/>
      <w:lang w:val="en-US" w:eastAsia="en-US"/>
    </w:rPr>
  </w:style>
  <w:style w:type="paragraph" w:customStyle="1" w:styleId="CharCharCharCharCharCharCharChar">
    <w:name w:val="Char Char Char Char Char Char Char Char"/>
    <w:basedOn w:val="Normal"/>
    <w:rsid w:val="00DA26FB"/>
    <w:pPr>
      <w:spacing w:after="160" w:line="240" w:lineRule="exact"/>
    </w:pPr>
    <w:rPr>
      <w:rFonts w:ascii="Tahoma" w:hAnsi="Tahoma"/>
      <w:sz w:val="20"/>
      <w:lang w:eastAsia="en-GB"/>
    </w:rPr>
  </w:style>
  <w:style w:type="character" w:customStyle="1" w:styleId="Heading5Char">
    <w:name w:val="Heading 5 Char"/>
    <w:basedOn w:val="DefaultParagraphFont"/>
    <w:link w:val="Heading5"/>
    <w:rsid w:val="00741AEB"/>
    <w:rPr>
      <w:rFonts w:ascii="Arial" w:hAnsi="Arial" w:cs="Arial"/>
      <w:sz w:val="28"/>
      <w:lang w:eastAsia="en-US"/>
    </w:rPr>
  </w:style>
  <w:style w:type="character" w:customStyle="1" w:styleId="Heading6Char">
    <w:name w:val="Heading 6 Char"/>
    <w:basedOn w:val="DefaultParagraphFont"/>
    <w:link w:val="Heading6"/>
    <w:rsid w:val="00741AEB"/>
    <w:rPr>
      <w:rFonts w:ascii="Arial" w:hAnsi="Arial" w:cs="Arial"/>
      <w:b/>
      <w:bCs/>
      <w:sz w:val="28"/>
      <w:szCs w:val="24"/>
      <w:lang w:eastAsia="en-US"/>
    </w:rPr>
  </w:style>
  <w:style w:type="character" w:customStyle="1" w:styleId="Heading7Char">
    <w:name w:val="Heading 7 Char"/>
    <w:basedOn w:val="DefaultParagraphFont"/>
    <w:link w:val="Heading7"/>
    <w:rsid w:val="00741AEB"/>
    <w:rPr>
      <w:rFonts w:ascii="Arial" w:hAnsi="Arial" w:cs="Arial"/>
      <w:i/>
      <w:iCs/>
      <w:sz w:val="24"/>
      <w:lang w:eastAsia="en-US"/>
    </w:rPr>
  </w:style>
  <w:style w:type="character" w:customStyle="1" w:styleId="Heading8Char">
    <w:name w:val="Heading 8 Char"/>
    <w:basedOn w:val="DefaultParagraphFont"/>
    <w:link w:val="Heading8"/>
    <w:rsid w:val="00741AEB"/>
    <w:rPr>
      <w:rFonts w:ascii="Arial" w:hAnsi="Arial" w:cs="Arial"/>
      <w:i/>
      <w:iCs/>
      <w:sz w:val="24"/>
      <w:lang w:eastAsia="en-US"/>
    </w:rPr>
  </w:style>
  <w:style w:type="character" w:customStyle="1" w:styleId="Heading9Char">
    <w:name w:val="Heading 9 Char"/>
    <w:basedOn w:val="DefaultParagraphFont"/>
    <w:link w:val="Heading9"/>
    <w:rsid w:val="00741AEB"/>
    <w:rPr>
      <w:rFonts w:ascii="Arial" w:hAnsi="Arial" w:cs="Arial"/>
      <w:sz w:val="24"/>
      <w:lang w:eastAsia="en-US"/>
    </w:rPr>
  </w:style>
  <w:style w:type="character" w:customStyle="1" w:styleId="FooterChar">
    <w:name w:val="Footer Char"/>
    <w:link w:val="Footer"/>
    <w:uiPriority w:val="99"/>
    <w:rsid w:val="00741AEB"/>
    <w:rPr>
      <w:rFonts w:ascii="Arial" w:hAnsi="Arial"/>
      <w:sz w:val="24"/>
      <w:szCs w:val="24"/>
      <w:lang w:val="en-US" w:eastAsia="en-US"/>
    </w:rPr>
  </w:style>
  <w:style w:type="paragraph" w:styleId="DocumentMap">
    <w:name w:val="Document Map"/>
    <w:basedOn w:val="Normal"/>
    <w:link w:val="DocumentMapChar"/>
    <w:rsid w:val="00741AEB"/>
    <w:pPr>
      <w:shd w:val="clear" w:color="auto" w:fill="000080"/>
    </w:pPr>
    <w:rPr>
      <w:rFonts w:ascii="Tahoma" w:hAnsi="Tahoma" w:cs="Tahoma"/>
    </w:rPr>
  </w:style>
  <w:style w:type="character" w:customStyle="1" w:styleId="DocumentMapChar">
    <w:name w:val="Document Map Char"/>
    <w:basedOn w:val="DefaultParagraphFont"/>
    <w:link w:val="DocumentMap"/>
    <w:rsid w:val="00741AEB"/>
    <w:rPr>
      <w:rFonts w:ascii="Tahoma" w:hAnsi="Tahoma" w:cs="Tahoma"/>
      <w:sz w:val="24"/>
      <w:shd w:val="clear" w:color="auto" w:fill="000080"/>
      <w:lang w:eastAsia="en-US"/>
    </w:rPr>
  </w:style>
  <w:style w:type="character" w:customStyle="1" w:styleId="Heading3Char">
    <w:name w:val="Heading 3 Char"/>
    <w:rsid w:val="00741AEB"/>
    <w:rPr>
      <w:rFonts w:ascii="Arial" w:hAnsi="Arial" w:cs="Arial"/>
      <w:b/>
      <w:bCs/>
      <w:i/>
      <w:sz w:val="24"/>
      <w:szCs w:val="28"/>
      <w:lang w:val="en-GB" w:eastAsia="en-US" w:bidi="ar-SA"/>
    </w:rPr>
  </w:style>
  <w:style w:type="paragraph" w:customStyle="1" w:styleId="Style12ptJustified">
    <w:name w:val="Style 12 pt Justified"/>
    <w:basedOn w:val="Normal"/>
    <w:rsid w:val="00741AEB"/>
  </w:style>
  <w:style w:type="paragraph" w:customStyle="1" w:styleId="Style12ptLinespacing15lines">
    <w:name w:val="Style 12 pt Line spacing:  1.5 lines"/>
    <w:basedOn w:val="Normal"/>
    <w:rsid w:val="00741AEB"/>
  </w:style>
  <w:style w:type="paragraph" w:customStyle="1" w:styleId="Style12ptJustified1">
    <w:name w:val="Style 12 pt Justified1"/>
    <w:basedOn w:val="Normal"/>
    <w:rsid w:val="00741AEB"/>
  </w:style>
  <w:style w:type="paragraph" w:customStyle="1" w:styleId="Style12ptJustified2">
    <w:name w:val="Style 12 pt Justified2"/>
    <w:basedOn w:val="Normal"/>
    <w:rsid w:val="00741AEB"/>
  </w:style>
  <w:style w:type="paragraph" w:customStyle="1" w:styleId="Style12ptJustified3">
    <w:name w:val="Style 12 pt Justified3"/>
    <w:basedOn w:val="Normal"/>
    <w:rsid w:val="00741AEB"/>
  </w:style>
  <w:style w:type="paragraph" w:styleId="BalloonText">
    <w:name w:val="Balloon Text"/>
    <w:basedOn w:val="Normal"/>
    <w:link w:val="BalloonTextChar"/>
    <w:rsid w:val="00741AEB"/>
    <w:rPr>
      <w:rFonts w:ascii="Tahoma" w:hAnsi="Tahoma" w:cs="Tahoma"/>
      <w:sz w:val="16"/>
      <w:szCs w:val="16"/>
    </w:rPr>
  </w:style>
  <w:style w:type="character" w:customStyle="1" w:styleId="BalloonTextChar">
    <w:name w:val="Balloon Text Char"/>
    <w:basedOn w:val="DefaultParagraphFont"/>
    <w:link w:val="BalloonText"/>
    <w:rsid w:val="00741AEB"/>
    <w:rPr>
      <w:rFonts w:ascii="Tahoma" w:hAnsi="Tahoma" w:cs="Tahoma"/>
      <w:sz w:val="16"/>
      <w:szCs w:val="16"/>
      <w:lang w:eastAsia="en-US"/>
    </w:rPr>
  </w:style>
  <w:style w:type="paragraph" w:customStyle="1" w:styleId="StyleJustified">
    <w:name w:val="Style Justified"/>
    <w:basedOn w:val="Normal"/>
    <w:next w:val="Normal"/>
    <w:rsid w:val="00741AEB"/>
    <w:rPr>
      <w:szCs w:val="24"/>
    </w:rPr>
  </w:style>
  <w:style w:type="character" w:customStyle="1" w:styleId="HeaderChar">
    <w:name w:val="Header Char"/>
    <w:link w:val="Header"/>
    <w:uiPriority w:val="99"/>
    <w:rsid w:val="00741AEB"/>
    <w:rPr>
      <w:rFonts w:ascii="Arial" w:hAnsi="Arial"/>
      <w:sz w:val="24"/>
      <w:lang w:eastAsia="en-US"/>
    </w:rPr>
  </w:style>
  <w:style w:type="paragraph" w:customStyle="1" w:styleId="CharCharCharChar2">
    <w:name w:val="Char Char Char Char2"/>
    <w:basedOn w:val="Normal"/>
    <w:locked/>
    <w:rsid w:val="00741AEB"/>
    <w:pPr>
      <w:spacing w:after="160" w:line="240" w:lineRule="exact"/>
    </w:pPr>
    <w:rPr>
      <w:rFonts w:ascii="Verdana" w:eastAsia="MS ??" w:hAnsi="Verdana" w:cs="Verdana"/>
      <w:sz w:val="20"/>
      <w:lang w:val="en-US"/>
    </w:rPr>
  </w:style>
  <w:style w:type="paragraph" w:styleId="BodyText3">
    <w:name w:val="Body Text 3"/>
    <w:basedOn w:val="Normal"/>
    <w:link w:val="BodyText3Char"/>
    <w:rsid w:val="00741AEB"/>
    <w:pPr>
      <w:spacing w:after="120"/>
    </w:pPr>
    <w:rPr>
      <w:sz w:val="16"/>
      <w:szCs w:val="16"/>
    </w:rPr>
  </w:style>
  <w:style w:type="character" w:customStyle="1" w:styleId="BodyText3Char">
    <w:name w:val="Body Text 3 Char"/>
    <w:basedOn w:val="DefaultParagraphFont"/>
    <w:link w:val="BodyText3"/>
    <w:rsid w:val="00741AEB"/>
    <w:rPr>
      <w:rFonts w:ascii="Arial" w:hAnsi="Arial"/>
      <w:sz w:val="16"/>
      <w:szCs w:val="16"/>
      <w:lang w:eastAsia="en-US"/>
    </w:rPr>
  </w:style>
  <w:style w:type="paragraph" w:customStyle="1" w:styleId="CharCharCharCharCharCharCharChar1">
    <w:name w:val="Char Char Char Char Char Char Char Char1"/>
    <w:basedOn w:val="Normal"/>
    <w:rsid w:val="00741AEB"/>
    <w:pPr>
      <w:spacing w:after="160" w:line="240" w:lineRule="exact"/>
    </w:pPr>
    <w:rPr>
      <w:rFonts w:cs="Arial"/>
    </w:rPr>
  </w:style>
  <w:style w:type="character" w:styleId="FollowedHyperlink">
    <w:name w:val="FollowedHyperlink"/>
    <w:uiPriority w:val="99"/>
    <w:unhideWhenUsed/>
    <w:rsid w:val="00741AEB"/>
    <w:rPr>
      <w:color w:val="800080"/>
      <w:u w:val="single"/>
    </w:rPr>
  </w:style>
  <w:style w:type="paragraph" w:styleId="ListParagraph">
    <w:name w:val="List Paragraph"/>
    <w:basedOn w:val="Normal"/>
    <w:uiPriority w:val="34"/>
    <w:qFormat/>
    <w:rsid w:val="00741AEB"/>
    <w:pPr>
      <w:ind w:left="720"/>
    </w:pPr>
  </w:style>
  <w:style w:type="paragraph" w:customStyle="1" w:styleId="CharCharCharChar5">
    <w:name w:val="Char Char Char Char5"/>
    <w:basedOn w:val="Normal"/>
    <w:locked/>
    <w:rsid w:val="00741AEB"/>
    <w:pPr>
      <w:spacing w:after="160" w:line="240" w:lineRule="exact"/>
    </w:pPr>
    <w:rPr>
      <w:rFonts w:ascii="Verdana" w:hAnsi="Verdana"/>
      <w:sz w:val="20"/>
      <w:lang w:val="en-US"/>
    </w:rPr>
  </w:style>
  <w:style w:type="character" w:styleId="CommentReference">
    <w:name w:val="annotation reference"/>
    <w:rsid w:val="00741AEB"/>
    <w:rPr>
      <w:sz w:val="16"/>
      <w:szCs w:val="16"/>
    </w:rPr>
  </w:style>
  <w:style w:type="paragraph" w:styleId="CommentText">
    <w:name w:val="annotation text"/>
    <w:basedOn w:val="Normal"/>
    <w:link w:val="CommentTextChar"/>
    <w:rsid w:val="00741AEB"/>
    <w:rPr>
      <w:sz w:val="20"/>
    </w:rPr>
  </w:style>
  <w:style w:type="character" w:customStyle="1" w:styleId="CommentTextChar">
    <w:name w:val="Comment Text Char"/>
    <w:basedOn w:val="DefaultParagraphFont"/>
    <w:link w:val="CommentText"/>
    <w:rsid w:val="00741AEB"/>
    <w:rPr>
      <w:rFonts w:ascii="Arial" w:hAnsi="Arial"/>
      <w:lang w:eastAsia="en-US"/>
    </w:rPr>
  </w:style>
  <w:style w:type="paragraph" w:styleId="CommentSubject">
    <w:name w:val="annotation subject"/>
    <w:basedOn w:val="CommentText"/>
    <w:next w:val="CommentText"/>
    <w:link w:val="CommentSubjectChar"/>
    <w:rsid w:val="00741AEB"/>
    <w:rPr>
      <w:b/>
      <w:bCs/>
    </w:rPr>
  </w:style>
  <w:style w:type="character" w:customStyle="1" w:styleId="CommentSubjectChar">
    <w:name w:val="Comment Subject Char"/>
    <w:basedOn w:val="CommentTextChar"/>
    <w:link w:val="CommentSubject"/>
    <w:rsid w:val="00741AEB"/>
    <w:rPr>
      <w:rFonts w:ascii="Arial" w:hAnsi="Arial"/>
      <w:b/>
      <w:bCs/>
      <w:lang w:eastAsia="en-US"/>
    </w:rPr>
  </w:style>
  <w:style w:type="paragraph" w:customStyle="1" w:styleId="xl65">
    <w:name w:val="xl65"/>
    <w:basedOn w:val="Normal"/>
    <w:rsid w:val="00741AEB"/>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0"/>
      <w:lang w:eastAsia="en-GB"/>
    </w:rPr>
  </w:style>
  <w:style w:type="paragraph" w:customStyle="1" w:styleId="xl66">
    <w:name w:val="xl66"/>
    <w:basedOn w:val="Normal"/>
    <w:rsid w:val="00741AEB"/>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sz w:val="20"/>
      <w:lang w:eastAsia="en-GB"/>
    </w:rPr>
  </w:style>
  <w:style w:type="paragraph" w:customStyle="1" w:styleId="xl67">
    <w:name w:val="xl67"/>
    <w:basedOn w:val="Normal"/>
    <w:rsid w:val="00741AEB"/>
    <w:pPr>
      <w:pBdr>
        <w:top w:val="single" w:sz="4" w:space="0" w:color="auto"/>
        <w:left w:val="single" w:sz="4" w:space="0" w:color="auto"/>
        <w:bottom w:val="single" w:sz="4" w:space="0" w:color="auto"/>
        <w:right w:val="single" w:sz="4" w:space="0" w:color="auto"/>
      </w:pBdr>
      <w:shd w:val="clear" w:color="CCCCFF" w:fill="C0C0C0"/>
      <w:spacing w:before="100" w:beforeAutospacing="1" w:after="100" w:afterAutospacing="1"/>
    </w:pPr>
    <w:rPr>
      <w:rFonts w:ascii="Times New Roman" w:hAnsi="Times New Roman"/>
      <w:b/>
      <w:bCs/>
      <w:sz w:val="20"/>
      <w:lang w:eastAsia="en-GB"/>
    </w:rPr>
  </w:style>
  <w:style w:type="paragraph" w:customStyle="1" w:styleId="xl68">
    <w:name w:val="xl68"/>
    <w:basedOn w:val="Normal"/>
    <w:rsid w:val="00741AEB"/>
    <w:pPr>
      <w:pBdr>
        <w:top w:val="single" w:sz="4" w:space="0" w:color="auto"/>
        <w:left w:val="single" w:sz="4" w:space="0" w:color="auto"/>
        <w:bottom w:val="single" w:sz="4" w:space="0" w:color="auto"/>
        <w:right w:val="single" w:sz="4" w:space="0" w:color="auto"/>
      </w:pBdr>
      <w:shd w:val="clear" w:color="CCCCFF" w:fill="C0C0C0"/>
      <w:spacing w:before="100" w:beforeAutospacing="1" w:after="100" w:afterAutospacing="1"/>
      <w:jc w:val="right"/>
    </w:pPr>
    <w:rPr>
      <w:rFonts w:ascii="Times New Roman" w:hAnsi="Times New Roman"/>
      <w:b/>
      <w:bCs/>
      <w:sz w:val="20"/>
      <w:lang w:eastAsia="en-GB"/>
    </w:rPr>
  </w:style>
  <w:style w:type="paragraph" w:customStyle="1" w:styleId="xl69">
    <w:name w:val="xl69"/>
    <w:basedOn w:val="Normal"/>
    <w:rsid w:val="00741AEB"/>
    <w:pPr>
      <w:pBdr>
        <w:top w:val="single" w:sz="4" w:space="0" w:color="auto"/>
        <w:left w:val="single" w:sz="4" w:space="0" w:color="auto"/>
        <w:bottom w:val="single" w:sz="4" w:space="0" w:color="auto"/>
        <w:right w:val="single" w:sz="4" w:space="0" w:color="auto"/>
      </w:pBdr>
      <w:shd w:val="clear" w:color="CCCCFF" w:fill="C0C0C0"/>
      <w:spacing w:before="100" w:beforeAutospacing="1" w:after="100" w:afterAutospacing="1"/>
      <w:jc w:val="center"/>
    </w:pPr>
    <w:rPr>
      <w:rFonts w:ascii="Times New Roman" w:hAnsi="Times New Roman"/>
      <w:b/>
      <w:bCs/>
      <w:sz w:val="20"/>
      <w:lang w:eastAsia="en-GB"/>
    </w:rPr>
  </w:style>
  <w:style w:type="paragraph" w:customStyle="1" w:styleId="xl70">
    <w:name w:val="xl70"/>
    <w:basedOn w:val="Normal"/>
    <w:rsid w:val="00741AEB"/>
    <w:pPr>
      <w:pBdr>
        <w:top w:val="single" w:sz="4" w:space="0" w:color="auto"/>
        <w:left w:val="single" w:sz="4" w:space="0" w:color="auto"/>
        <w:bottom w:val="single" w:sz="4" w:space="0" w:color="auto"/>
        <w:right w:val="single" w:sz="4" w:space="0" w:color="auto"/>
      </w:pBdr>
      <w:shd w:val="clear" w:color="CCCCFF" w:fill="C0C0C0"/>
      <w:spacing w:before="100" w:beforeAutospacing="1" w:after="100" w:afterAutospacing="1"/>
      <w:textAlignment w:val="top"/>
    </w:pPr>
    <w:rPr>
      <w:rFonts w:ascii="Times New Roman" w:hAnsi="Times New Roman"/>
      <w:szCs w:val="24"/>
      <w:lang w:eastAsia="en-GB"/>
    </w:rPr>
  </w:style>
  <w:style w:type="paragraph" w:customStyle="1" w:styleId="xl71">
    <w:name w:val="xl71"/>
    <w:basedOn w:val="Normal"/>
    <w:rsid w:val="00741AEB"/>
    <w:pPr>
      <w:pBdr>
        <w:top w:val="single" w:sz="4" w:space="0" w:color="auto"/>
        <w:left w:val="single" w:sz="4" w:space="0" w:color="auto"/>
        <w:bottom w:val="single" w:sz="4" w:space="0" w:color="auto"/>
        <w:right w:val="single" w:sz="4" w:space="0" w:color="auto"/>
      </w:pBdr>
      <w:shd w:val="clear" w:color="CCCCFF" w:fill="C0C0C0"/>
      <w:spacing w:before="100" w:beforeAutospacing="1" w:after="100" w:afterAutospacing="1"/>
      <w:jc w:val="center"/>
    </w:pPr>
    <w:rPr>
      <w:rFonts w:ascii="Times New Roman" w:hAnsi="Times New Roman"/>
      <w:sz w:val="20"/>
      <w:lang w:eastAsia="en-GB"/>
    </w:rPr>
  </w:style>
  <w:style w:type="paragraph" w:customStyle="1" w:styleId="xl72">
    <w:name w:val="xl72"/>
    <w:basedOn w:val="Normal"/>
    <w:rsid w:val="00741AE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 w:val="20"/>
      <w:lang w:eastAsia="en-GB"/>
    </w:rPr>
  </w:style>
  <w:style w:type="paragraph" w:customStyle="1" w:styleId="xl73">
    <w:name w:val="xl73"/>
    <w:basedOn w:val="Normal"/>
    <w:rsid w:val="00741AE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bCs/>
      <w:sz w:val="20"/>
      <w:lang w:eastAsia="en-GB"/>
    </w:rPr>
  </w:style>
  <w:style w:type="paragraph" w:customStyle="1" w:styleId="xl74">
    <w:name w:val="xl74"/>
    <w:basedOn w:val="Normal"/>
    <w:rsid w:val="00741AE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 w:val="20"/>
      <w:lang w:eastAsia="en-GB"/>
    </w:rPr>
  </w:style>
  <w:style w:type="paragraph" w:customStyle="1" w:styleId="xl75">
    <w:name w:val="xl75"/>
    <w:basedOn w:val="Normal"/>
    <w:rsid w:val="00741AE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 w:val="20"/>
      <w:lang w:eastAsia="en-GB"/>
    </w:rPr>
  </w:style>
  <w:style w:type="paragraph" w:customStyle="1" w:styleId="xl76">
    <w:name w:val="xl76"/>
    <w:basedOn w:val="Normal"/>
    <w:rsid w:val="00741AE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 w:val="20"/>
      <w:lang w:eastAsia="en-GB"/>
    </w:rPr>
  </w:style>
  <w:style w:type="paragraph" w:customStyle="1" w:styleId="xl77">
    <w:name w:val="xl77"/>
    <w:basedOn w:val="Normal"/>
    <w:rsid w:val="00741AEB"/>
    <w:pPr>
      <w:pBdr>
        <w:top w:val="single" w:sz="4" w:space="0" w:color="auto"/>
        <w:left w:val="single" w:sz="4" w:space="0" w:color="auto"/>
        <w:bottom w:val="single" w:sz="4" w:space="0" w:color="auto"/>
        <w:right w:val="single" w:sz="4" w:space="0" w:color="auto"/>
      </w:pBdr>
      <w:shd w:val="clear" w:color="000000" w:fill="FF6600"/>
      <w:spacing w:before="100" w:beforeAutospacing="1" w:after="100" w:afterAutospacing="1"/>
      <w:textAlignment w:val="center"/>
    </w:pPr>
    <w:rPr>
      <w:rFonts w:ascii="Times New Roman" w:hAnsi="Times New Roman"/>
      <w:sz w:val="20"/>
      <w:lang w:eastAsia="en-GB"/>
    </w:rPr>
  </w:style>
  <w:style w:type="paragraph" w:customStyle="1" w:styleId="xl78">
    <w:name w:val="xl78"/>
    <w:basedOn w:val="Normal"/>
    <w:rsid w:val="00741AEB"/>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rPr>
      <w:rFonts w:ascii="Times New Roman" w:hAnsi="Times New Roman"/>
      <w:b/>
      <w:bCs/>
      <w:sz w:val="20"/>
      <w:lang w:eastAsia="en-GB"/>
    </w:rPr>
  </w:style>
  <w:style w:type="paragraph" w:customStyle="1" w:styleId="xl79">
    <w:name w:val="xl79"/>
    <w:basedOn w:val="Normal"/>
    <w:rsid w:val="00741AEB"/>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rPr>
      <w:rFonts w:ascii="Times New Roman" w:hAnsi="Times New Roman"/>
      <w:b/>
      <w:bCs/>
      <w:sz w:val="20"/>
      <w:lang w:eastAsia="en-GB"/>
    </w:rPr>
  </w:style>
  <w:style w:type="paragraph" w:customStyle="1" w:styleId="xl80">
    <w:name w:val="xl80"/>
    <w:basedOn w:val="Normal"/>
    <w:rsid w:val="00741AE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bCs/>
      <w:sz w:val="20"/>
      <w:lang w:eastAsia="en-GB"/>
    </w:rPr>
  </w:style>
  <w:style w:type="paragraph" w:customStyle="1" w:styleId="xl81">
    <w:name w:val="xl81"/>
    <w:basedOn w:val="Normal"/>
    <w:rsid w:val="00741A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sz w:val="20"/>
      <w:lang w:eastAsia="en-GB"/>
    </w:rPr>
  </w:style>
  <w:style w:type="paragraph" w:customStyle="1" w:styleId="xl82">
    <w:name w:val="xl82"/>
    <w:basedOn w:val="Normal"/>
    <w:rsid w:val="00741A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Cs w:val="24"/>
      <w:lang w:eastAsia="en-GB"/>
    </w:rPr>
  </w:style>
  <w:style w:type="paragraph" w:customStyle="1" w:styleId="xl83">
    <w:name w:val="xl83"/>
    <w:basedOn w:val="Normal"/>
    <w:rsid w:val="00741AEB"/>
    <w:pPr>
      <w:spacing w:before="100" w:beforeAutospacing="1" w:after="100" w:afterAutospacing="1"/>
    </w:pPr>
    <w:rPr>
      <w:rFonts w:ascii="Times New Roman" w:hAnsi="Times New Roman"/>
      <w:szCs w:val="24"/>
      <w:lang w:eastAsia="en-GB"/>
    </w:rPr>
  </w:style>
  <w:style w:type="paragraph" w:customStyle="1" w:styleId="xl84">
    <w:name w:val="xl84"/>
    <w:basedOn w:val="Normal"/>
    <w:rsid w:val="00741AEB"/>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Cs w:val="24"/>
      <w:lang w:eastAsia="en-GB"/>
    </w:rPr>
  </w:style>
  <w:style w:type="paragraph" w:customStyle="1" w:styleId="xl85">
    <w:name w:val="xl85"/>
    <w:basedOn w:val="Normal"/>
    <w:rsid w:val="00741AEB"/>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Cs w:val="24"/>
      <w:lang w:eastAsia="en-GB"/>
    </w:rPr>
  </w:style>
  <w:style w:type="paragraph" w:customStyle="1" w:styleId="xl86">
    <w:name w:val="xl86"/>
    <w:basedOn w:val="Normal"/>
    <w:rsid w:val="00741AE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 w:val="20"/>
      <w:lang w:eastAsia="en-GB"/>
    </w:rPr>
  </w:style>
  <w:style w:type="paragraph" w:customStyle="1" w:styleId="xl87">
    <w:name w:val="xl87"/>
    <w:basedOn w:val="Normal"/>
    <w:rsid w:val="00741AE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bCs/>
      <w:sz w:val="20"/>
      <w:lang w:eastAsia="en-GB"/>
    </w:rPr>
  </w:style>
  <w:style w:type="paragraph" w:customStyle="1" w:styleId="xl88">
    <w:name w:val="xl88"/>
    <w:basedOn w:val="Normal"/>
    <w:rsid w:val="00741AEB"/>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szCs w:val="24"/>
      <w:lang w:eastAsia="en-GB"/>
    </w:rPr>
  </w:style>
  <w:style w:type="paragraph" w:customStyle="1" w:styleId="xl89">
    <w:name w:val="xl89"/>
    <w:basedOn w:val="Normal"/>
    <w:rsid w:val="00741AEB"/>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szCs w:val="24"/>
      <w:lang w:eastAsia="en-GB"/>
    </w:rPr>
  </w:style>
  <w:style w:type="paragraph" w:customStyle="1" w:styleId="xl90">
    <w:name w:val="xl90"/>
    <w:basedOn w:val="Normal"/>
    <w:rsid w:val="00741A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hAnsi="Times New Roman"/>
      <w:b/>
      <w:bCs/>
      <w:sz w:val="20"/>
      <w:lang w:eastAsia="en-GB"/>
    </w:rPr>
  </w:style>
  <w:style w:type="paragraph" w:customStyle="1" w:styleId="xl91">
    <w:name w:val="xl91"/>
    <w:basedOn w:val="Normal"/>
    <w:rsid w:val="00741AEB"/>
    <w:pPr>
      <w:spacing w:before="100" w:beforeAutospacing="1" w:after="100" w:afterAutospacing="1"/>
    </w:pPr>
    <w:rPr>
      <w:rFonts w:ascii="Times New Roman" w:hAnsi="Times New Roman"/>
      <w:b/>
      <w:bCs/>
      <w:szCs w:val="24"/>
      <w:lang w:eastAsia="en-GB"/>
    </w:rPr>
  </w:style>
  <w:style w:type="paragraph" w:customStyle="1" w:styleId="xl92">
    <w:name w:val="xl92"/>
    <w:basedOn w:val="Normal"/>
    <w:rsid w:val="00741AEB"/>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textAlignment w:val="center"/>
    </w:pPr>
    <w:rPr>
      <w:rFonts w:ascii="Times New Roman" w:hAnsi="Times New Roman"/>
      <w:sz w:val="20"/>
      <w:lang w:eastAsia="en-GB"/>
    </w:rPr>
  </w:style>
  <w:style w:type="paragraph" w:customStyle="1" w:styleId="xl93">
    <w:name w:val="xl93"/>
    <w:basedOn w:val="Normal"/>
    <w:rsid w:val="00741AEB"/>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center"/>
    </w:pPr>
    <w:rPr>
      <w:rFonts w:ascii="Times New Roman" w:hAnsi="Times New Roman"/>
      <w:sz w:val="20"/>
      <w:lang w:eastAsia="en-GB"/>
    </w:rPr>
  </w:style>
  <w:style w:type="paragraph" w:customStyle="1" w:styleId="xl94">
    <w:name w:val="xl94"/>
    <w:basedOn w:val="Normal"/>
    <w:rsid w:val="00741AEB"/>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center"/>
    </w:pPr>
    <w:rPr>
      <w:rFonts w:ascii="Times New Roman" w:hAnsi="Times New Roman"/>
      <w:sz w:val="20"/>
      <w:lang w:eastAsia="en-GB"/>
    </w:rPr>
  </w:style>
  <w:style w:type="paragraph" w:customStyle="1" w:styleId="xl95">
    <w:name w:val="xl95"/>
    <w:basedOn w:val="Normal"/>
    <w:rsid w:val="00741AEB"/>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rFonts w:ascii="Times New Roman" w:hAnsi="Times New Roman"/>
      <w:szCs w:val="24"/>
      <w:lang w:eastAsia="en-GB"/>
    </w:rPr>
  </w:style>
  <w:style w:type="paragraph" w:customStyle="1" w:styleId="xl96">
    <w:name w:val="xl96"/>
    <w:basedOn w:val="Normal"/>
    <w:rsid w:val="00741AEB"/>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pPr>
    <w:rPr>
      <w:rFonts w:ascii="Times New Roman" w:hAnsi="Times New Roman"/>
      <w:szCs w:val="24"/>
      <w:lang w:eastAsia="en-GB"/>
    </w:rPr>
  </w:style>
  <w:style w:type="paragraph" w:customStyle="1" w:styleId="xl97">
    <w:name w:val="xl97"/>
    <w:basedOn w:val="Normal"/>
    <w:rsid w:val="00741AEB"/>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pPr>
    <w:rPr>
      <w:rFonts w:ascii="Times New Roman" w:hAnsi="Times New Roman"/>
      <w:szCs w:val="24"/>
      <w:lang w:eastAsia="en-GB"/>
    </w:rPr>
  </w:style>
  <w:style w:type="paragraph" w:customStyle="1" w:styleId="xl98">
    <w:name w:val="xl98"/>
    <w:basedOn w:val="Normal"/>
    <w:rsid w:val="00741A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hAnsi="Times New Roman"/>
      <w:sz w:val="20"/>
      <w:lang w:eastAsia="en-GB"/>
    </w:rPr>
  </w:style>
  <w:style w:type="paragraph" w:customStyle="1" w:styleId="xl99">
    <w:name w:val="xl99"/>
    <w:basedOn w:val="Normal"/>
    <w:rsid w:val="00741AEB"/>
    <w:pPr>
      <w:pBdr>
        <w:top w:val="single" w:sz="4" w:space="0" w:color="auto"/>
        <w:left w:val="single" w:sz="4" w:space="0" w:color="auto"/>
        <w:bottom w:val="single" w:sz="4" w:space="0" w:color="auto"/>
        <w:right w:val="single" w:sz="4" w:space="0" w:color="auto"/>
      </w:pBdr>
      <w:shd w:val="clear" w:color="000000" w:fill="C00000"/>
      <w:spacing w:before="100" w:beforeAutospacing="1" w:after="100" w:afterAutospacing="1"/>
      <w:textAlignment w:val="center"/>
    </w:pPr>
    <w:rPr>
      <w:rFonts w:ascii="Times New Roman" w:hAnsi="Times New Roman"/>
      <w:sz w:val="20"/>
      <w:lang w:eastAsia="en-GB"/>
    </w:rPr>
  </w:style>
  <w:style w:type="paragraph" w:customStyle="1" w:styleId="xl100">
    <w:name w:val="xl100"/>
    <w:basedOn w:val="Normal"/>
    <w:rsid w:val="00741AEB"/>
    <w:pPr>
      <w:pBdr>
        <w:top w:val="single" w:sz="4" w:space="0" w:color="auto"/>
        <w:left w:val="single" w:sz="4" w:space="0" w:color="auto"/>
        <w:bottom w:val="single" w:sz="4" w:space="0" w:color="auto"/>
        <w:right w:val="single" w:sz="4" w:space="0" w:color="auto"/>
      </w:pBdr>
      <w:shd w:val="clear" w:color="CCCCFF" w:fill="C0C0C0"/>
      <w:spacing w:before="100" w:beforeAutospacing="1" w:after="100" w:afterAutospacing="1"/>
      <w:textAlignment w:val="top"/>
    </w:pPr>
    <w:rPr>
      <w:rFonts w:ascii="Times New Roman" w:hAnsi="Times New Roman"/>
      <w:b/>
      <w:bCs/>
      <w:sz w:val="20"/>
      <w:lang w:eastAsia="en-GB"/>
    </w:rPr>
  </w:style>
  <w:style w:type="paragraph" w:customStyle="1" w:styleId="xl101">
    <w:name w:val="xl101"/>
    <w:basedOn w:val="Normal"/>
    <w:rsid w:val="00741AEB"/>
    <w:pPr>
      <w:spacing w:before="100" w:beforeAutospacing="1" w:after="100" w:afterAutospacing="1"/>
    </w:pPr>
    <w:rPr>
      <w:rFonts w:ascii="Times New Roman" w:hAnsi="Times New Roman"/>
      <w:sz w:val="20"/>
      <w:lang w:eastAsia="en-GB"/>
    </w:rPr>
  </w:style>
  <w:style w:type="paragraph" w:customStyle="1" w:styleId="xl102">
    <w:name w:val="xl102"/>
    <w:basedOn w:val="Normal"/>
    <w:rsid w:val="00741AEB"/>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0"/>
      <w:lang w:eastAsia="en-GB"/>
    </w:rPr>
  </w:style>
  <w:style w:type="paragraph" w:customStyle="1" w:styleId="xl103">
    <w:name w:val="xl103"/>
    <w:basedOn w:val="Normal"/>
    <w:rsid w:val="00741AE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sz w:val="20"/>
      <w:lang w:eastAsia="en-GB"/>
    </w:rPr>
  </w:style>
  <w:style w:type="paragraph" w:customStyle="1" w:styleId="xl104">
    <w:name w:val="xl104"/>
    <w:basedOn w:val="Normal"/>
    <w:rsid w:val="00741AEB"/>
    <w:pPr>
      <w:pBdr>
        <w:top w:val="single" w:sz="4" w:space="0" w:color="auto"/>
        <w:left w:val="single" w:sz="4" w:space="0" w:color="auto"/>
        <w:right w:val="single" w:sz="4" w:space="0" w:color="auto"/>
      </w:pBdr>
      <w:spacing w:before="100" w:beforeAutospacing="1" w:after="100" w:afterAutospacing="1"/>
      <w:textAlignment w:val="center"/>
    </w:pPr>
    <w:rPr>
      <w:rFonts w:ascii="Times New Roman" w:hAnsi="Times New Roman"/>
      <w:sz w:val="20"/>
      <w:lang w:eastAsia="en-GB"/>
    </w:rPr>
  </w:style>
  <w:style w:type="paragraph" w:customStyle="1" w:styleId="xl105">
    <w:name w:val="xl105"/>
    <w:basedOn w:val="Normal"/>
    <w:rsid w:val="00741AEB"/>
    <w:pPr>
      <w:pBdr>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 w:val="20"/>
      <w:lang w:eastAsia="en-GB"/>
    </w:rPr>
  </w:style>
  <w:style w:type="paragraph" w:customStyle="1" w:styleId="CharCharCharChar4">
    <w:name w:val="Char Char Char Char4"/>
    <w:basedOn w:val="Normal"/>
    <w:locked/>
    <w:rsid w:val="00DC5AEC"/>
    <w:pPr>
      <w:spacing w:after="160" w:line="240" w:lineRule="exact"/>
    </w:pPr>
    <w:rPr>
      <w:rFonts w:ascii="Verdana" w:hAnsi="Verdana"/>
      <w:sz w:val="20"/>
      <w:lang w:val="en-US"/>
    </w:rPr>
  </w:style>
  <w:style w:type="paragraph" w:styleId="Revision">
    <w:name w:val="Revision"/>
    <w:hidden/>
    <w:uiPriority w:val="99"/>
    <w:semiHidden/>
    <w:rsid w:val="00F71F33"/>
    <w:rPr>
      <w:rFonts w:ascii="Arial" w:hAnsi="Arial"/>
      <w:sz w:val="24"/>
      <w:lang w:eastAsia="en-US"/>
    </w:rPr>
  </w:style>
  <w:style w:type="paragraph" w:customStyle="1" w:styleId="Default">
    <w:name w:val="Default"/>
    <w:rsid w:val="0062479E"/>
    <w:pPr>
      <w:autoSpaceDE w:val="0"/>
      <w:autoSpaceDN w:val="0"/>
      <w:adjustRightInd w:val="0"/>
    </w:pPr>
    <w:rPr>
      <w:rFonts w:ascii="Arial" w:eastAsia="Calibri" w:hAnsi="Arial" w:cs="Arial"/>
      <w:color w:val="000000"/>
      <w:sz w:val="24"/>
      <w:szCs w:val="24"/>
    </w:rPr>
  </w:style>
  <w:style w:type="paragraph" w:customStyle="1" w:styleId="CharCharCharChar3">
    <w:name w:val="Char Char Char Char3"/>
    <w:basedOn w:val="Normal"/>
    <w:locked/>
    <w:rsid w:val="00E121EB"/>
    <w:pPr>
      <w:spacing w:after="160" w:line="240" w:lineRule="exact"/>
    </w:pPr>
    <w:rPr>
      <w:rFonts w:ascii="Verdana" w:hAnsi="Verdana"/>
      <w:sz w:val="20"/>
      <w:lang w:val="en-US"/>
    </w:rPr>
  </w:style>
  <w:style w:type="paragraph" w:customStyle="1" w:styleId="CharCharCharChar1">
    <w:name w:val="Char Char Char Char1"/>
    <w:basedOn w:val="Normal"/>
    <w:locked/>
    <w:rsid w:val="00E662CB"/>
    <w:pPr>
      <w:spacing w:after="160" w:line="240" w:lineRule="exact"/>
    </w:pPr>
    <w:rPr>
      <w:rFonts w:ascii="Verdana" w:hAnsi="Verdana"/>
      <w:sz w:val="20"/>
      <w:lang w:val="en-US"/>
    </w:rPr>
  </w:style>
  <w:style w:type="character" w:styleId="LineNumber">
    <w:name w:val="line number"/>
    <w:basedOn w:val="DefaultParagraphFont"/>
    <w:rsid w:val="00D73C5B"/>
  </w:style>
  <w:style w:type="paragraph" w:customStyle="1" w:styleId="CharCharCharChar6">
    <w:name w:val="Char Char Char Char6"/>
    <w:basedOn w:val="Normal"/>
    <w:locked/>
    <w:rsid w:val="005A04AE"/>
    <w:pPr>
      <w:spacing w:after="160" w:line="240" w:lineRule="exact"/>
    </w:pPr>
    <w:rPr>
      <w:rFonts w:ascii="Verdana" w:hAnsi="Verdana"/>
      <w:sz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44036">
      <w:bodyDiv w:val="1"/>
      <w:marLeft w:val="0"/>
      <w:marRight w:val="0"/>
      <w:marTop w:val="0"/>
      <w:marBottom w:val="0"/>
      <w:divBdr>
        <w:top w:val="none" w:sz="0" w:space="0" w:color="auto"/>
        <w:left w:val="none" w:sz="0" w:space="0" w:color="auto"/>
        <w:bottom w:val="none" w:sz="0" w:space="0" w:color="auto"/>
        <w:right w:val="none" w:sz="0" w:space="0" w:color="auto"/>
      </w:divBdr>
    </w:div>
    <w:div w:id="29959124">
      <w:bodyDiv w:val="1"/>
      <w:marLeft w:val="0"/>
      <w:marRight w:val="0"/>
      <w:marTop w:val="0"/>
      <w:marBottom w:val="0"/>
      <w:divBdr>
        <w:top w:val="none" w:sz="0" w:space="0" w:color="auto"/>
        <w:left w:val="none" w:sz="0" w:space="0" w:color="auto"/>
        <w:bottom w:val="none" w:sz="0" w:space="0" w:color="auto"/>
        <w:right w:val="none" w:sz="0" w:space="0" w:color="auto"/>
      </w:divBdr>
    </w:div>
    <w:div w:id="30808353">
      <w:bodyDiv w:val="1"/>
      <w:marLeft w:val="0"/>
      <w:marRight w:val="0"/>
      <w:marTop w:val="0"/>
      <w:marBottom w:val="0"/>
      <w:divBdr>
        <w:top w:val="none" w:sz="0" w:space="0" w:color="auto"/>
        <w:left w:val="none" w:sz="0" w:space="0" w:color="auto"/>
        <w:bottom w:val="none" w:sz="0" w:space="0" w:color="auto"/>
        <w:right w:val="none" w:sz="0" w:space="0" w:color="auto"/>
      </w:divBdr>
    </w:div>
    <w:div w:id="49160106">
      <w:bodyDiv w:val="1"/>
      <w:marLeft w:val="0"/>
      <w:marRight w:val="0"/>
      <w:marTop w:val="0"/>
      <w:marBottom w:val="0"/>
      <w:divBdr>
        <w:top w:val="none" w:sz="0" w:space="0" w:color="auto"/>
        <w:left w:val="none" w:sz="0" w:space="0" w:color="auto"/>
        <w:bottom w:val="none" w:sz="0" w:space="0" w:color="auto"/>
        <w:right w:val="none" w:sz="0" w:space="0" w:color="auto"/>
      </w:divBdr>
    </w:div>
    <w:div w:id="52389938">
      <w:bodyDiv w:val="1"/>
      <w:marLeft w:val="0"/>
      <w:marRight w:val="0"/>
      <w:marTop w:val="0"/>
      <w:marBottom w:val="0"/>
      <w:divBdr>
        <w:top w:val="none" w:sz="0" w:space="0" w:color="auto"/>
        <w:left w:val="none" w:sz="0" w:space="0" w:color="auto"/>
        <w:bottom w:val="none" w:sz="0" w:space="0" w:color="auto"/>
        <w:right w:val="none" w:sz="0" w:space="0" w:color="auto"/>
      </w:divBdr>
    </w:div>
    <w:div w:id="78210410">
      <w:bodyDiv w:val="1"/>
      <w:marLeft w:val="0"/>
      <w:marRight w:val="0"/>
      <w:marTop w:val="0"/>
      <w:marBottom w:val="0"/>
      <w:divBdr>
        <w:top w:val="none" w:sz="0" w:space="0" w:color="auto"/>
        <w:left w:val="none" w:sz="0" w:space="0" w:color="auto"/>
        <w:bottom w:val="none" w:sz="0" w:space="0" w:color="auto"/>
        <w:right w:val="none" w:sz="0" w:space="0" w:color="auto"/>
      </w:divBdr>
    </w:div>
    <w:div w:id="92362291">
      <w:bodyDiv w:val="1"/>
      <w:marLeft w:val="0"/>
      <w:marRight w:val="0"/>
      <w:marTop w:val="0"/>
      <w:marBottom w:val="0"/>
      <w:divBdr>
        <w:top w:val="none" w:sz="0" w:space="0" w:color="auto"/>
        <w:left w:val="none" w:sz="0" w:space="0" w:color="auto"/>
        <w:bottom w:val="none" w:sz="0" w:space="0" w:color="auto"/>
        <w:right w:val="none" w:sz="0" w:space="0" w:color="auto"/>
      </w:divBdr>
    </w:div>
    <w:div w:id="107049033">
      <w:bodyDiv w:val="1"/>
      <w:marLeft w:val="0"/>
      <w:marRight w:val="0"/>
      <w:marTop w:val="0"/>
      <w:marBottom w:val="0"/>
      <w:divBdr>
        <w:top w:val="none" w:sz="0" w:space="0" w:color="auto"/>
        <w:left w:val="none" w:sz="0" w:space="0" w:color="auto"/>
        <w:bottom w:val="none" w:sz="0" w:space="0" w:color="auto"/>
        <w:right w:val="none" w:sz="0" w:space="0" w:color="auto"/>
      </w:divBdr>
    </w:div>
    <w:div w:id="117378666">
      <w:bodyDiv w:val="1"/>
      <w:marLeft w:val="0"/>
      <w:marRight w:val="0"/>
      <w:marTop w:val="0"/>
      <w:marBottom w:val="0"/>
      <w:divBdr>
        <w:top w:val="none" w:sz="0" w:space="0" w:color="auto"/>
        <w:left w:val="none" w:sz="0" w:space="0" w:color="auto"/>
        <w:bottom w:val="none" w:sz="0" w:space="0" w:color="auto"/>
        <w:right w:val="none" w:sz="0" w:space="0" w:color="auto"/>
      </w:divBdr>
    </w:div>
    <w:div w:id="133106798">
      <w:bodyDiv w:val="1"/>
      <w:marLeft w:val="0"/>
      <w:marRight w:val="0"/>
      <w:marTop w:val="0"/>
      <w:marBottom w:val="0"/>
      <w:divBdr>
        <w:top w:val="none" w:sz="0" w:space="0" w:color="auto"/>
        <w:left w:val="none" w:sz="0" w:space="0" w:color="auto"/>
        <w:bottom w:val="none" w:sz="0" w:space="0" w:color="auto"/>
        <w:right w:val="none" w:sz="0" w:space="0" w:color="auto"/>
      </w:divBdr>
    </w:div>
    <w:div w:id="194927581">
      <w:bodyDiv w:val="1"/>
      <w:marLeft w:val="0"/>
      <w:marRight w:val="0"/>
      <w:marTop w:val="0"/>
      <w:marBottom w:val="0"/>
      <w:divBdr>
        <w:top w:val="none" w:sz="0" w:space="0" w:color="auto"/>
        <w:left w:val="none" w:sz="0" w:space="0" w:color="auto"/>
        <w:bottom w:val="none" w:sz="0" w:space="0" w:color="auto"/>
        <w:right w:val="none" w:sz="0" w:space="0" w:color="auto"/>
      </w:divBdr>
    </w:div>
    <w:div w:id="200484648">
      <w:bodyDiv w:val="1"/>
      <w:marLeft w:val="0"/>
      <w:marRight w:val="0"/>
      <w:marTop w:val="0"/>
      <w:marBottom w:val="0"/>
      <w:divBdr>
        <w:top w:val="none" w:sz="0" w:space="0" w:color="auto"/>
        <w:left w:val="none" w:sz="0" w:space="0" w:color="auto"/>
        <w:bottom w:val="none" w:sz="0" w:space="0" w:color="auto"/>
        <w:right w:val="none" w:sz="0" w:space="0" w:color="auto"/>
      </w:divBdr>
    </w:div>
    <w:div w:id="231702436">
      <w:bodyDiv w:val="1"/>
      <w:marLeft w:val="0"/>
      <w:marRight w:val="0"/>
      <w:marTop w:val="0"/>
      <w:marBottom w:val="0"/>
      <w:divBdr>
        <w:top w:val="none" w:sz="0" w:space="0" w:color="auto"/>
        <w:left w:val="none" w:sz="0" w:space="0" w:color="auto"/>
        <w:bottom w:val="none" w:sz="0" w:space="0" w:color="auto"/>
        <w:right w:val="none" w:sz="0" w:space="0" w:color="auto"/>
      </w:divBdr>
    </w:div>
    <w:div w:id="302582166">
      <w:bodyDiv w:val="1"/>
      <w:marLeft w:val="0"/>
      <w:marRight w:val="0"/>
      <w:marTop w:val="0"/>
      <w:marBottom w:val="0"/>
      <w:divBdr>
        <w:top w:val="none" w:sz="0" w:space="0" w:color="auto"/>
        <w:left w:val="none" w:sz="0" w:space="0" w:color="auto"/>
        <w:bottom w:val="none" w:sz="0" w:space="0" w:color="auto"/>
        <w:right w:val="none" w:sz="0" w:space="0" w:color="auto"/>
      </w:divBdr>
    </w:div>
    <w:div w:id="307631738">
      <w:bodyDiv w:val="1"/>
      <w:marLeft w:val="0"/>
      <w:marRight w:val="0"/>
      <w:marTop w:val="0"/>
      <w:marBottom w:val="0"/>
      <w:divBdr>
        <w:top w:val="none" w:sz="0" w:space="0" w:color="auto"/>
        <w:left w:val="none" w:sz="0" w:space="0" w:color="auto"/>
        <w:bottom w:val="none" w:sz="0" w:space="0" w:color="auto"/>
        <w:right w:val="none" w:sz="0" w:space="0" w:color="auto"/>
      </w:divBdr>
    </w:div>
    <w:div w:id="328993865">
      <w:bodyDiv w:val="1"/>
      <w:marLeft w:val="0"/>
      <w:marRight w:val="0"/>
      <w:marTop w:val="0"/>
      <w:marBottom w:val="0"/>
      <w:divBdr>
        <w:top w:val="none" w:sz="0" w:space="0" w:color="auto"/>
        <w:left w:val="none" w:sz="0" w:space="0" w:color="auto"/>
        <w:bottom w:val="none" w:sz="0" w:space="0" w:color="auto"/>
        <w:right w:val="none" w:sz="0" w:space="0" w:color="auto"/>
      </w:divBdr>
    </w:div>
    <w:div w:id="334067300">
      <w:bodyDiv w:val="1"/>
      <w:marLeft w:val="0"/>
      <w:marRight w:val="0"/>
      <w:marTop w:val="0"/>
      <w:marBottom w:val="0"/>
      <w:divBdr>
        <w:top w:val="none" w:sz="0" w:space="0" w:color="auto"/>
        <w:left w:val="none" w:sz="0" w:space="0" w:color="auto"/>
        <w:bottom w:val="none" w:sz="0" w:space="0" w:color="auto"/>
        <w:right w:val="none" w:sz="0" w:space="0" w:color="auto"/>
      </w:divBdr>
    </w:div>
    <w:div w:id="381443550">
      <w:bodyDiv w:val="1"/>
      <w:marLeft w:val="0"/>
      <w:marRight w:val="0"/>
      <w:marTop w:val="0"/>
      <w:marBottom w:val="0"/>
      <w:divBdr>
        <w:top w:val="none" w:sz="0" w:space="0" w:color="auto"/>
        <w:left w:val="none" w:sz="0" w:space="0" w:color="auto"/>
        <w:bottom w:val="none" w:sz="0" w:space="0" w:color="auto"/>
        <w:right w:val="none" w:sz="0" w:space="0" w:color="auto"/>
      </w:divBdr>
    </w:div>
    <w:div w:id="387068493">
      <w:bodyDiv w:val="1"/>
      <w:marLeft w:val="0"/>
      <w:marRight w:val="0"/>
      <w:marTop w:val="0"/>
      <w:marBottom w:val="0"/>
      <w:divBdr>
        <w:top w:val="none" w:sz="0" w:space="0" w:color="auto"/>
        <w:left w:val="none" w:sz="0" w:space="0" w:color="auto"/>
        <w:bottom w:val="none" w:sz="0" w:space="0" w:color="auto"/>
        <w:right w:val="none" w:sz="0" w:space="0" w:color="auto"/>
      </w:divBdr>
    </w:div>
    <w:div w:id="428282078">
      <w:bodyDiv w:val="1"/>
      <w:marLeft w:val="0"/>
      <w:marRight w:val="0"/>
      <w:marTop w:val="0"/>
      <w:marBottom w:val="0"/>
      <w:divBdr>
        <w:top w:val="none" w:sz="0" w:space="0" w:color="auto"/>
        <w:left w:val="none" w:sz="0" w:space="0" w:color="auto"/>
        <w:bottom w:val="none" w:sz="0" w:space="0" w:color="auto"/>
        <w:right w:val="none" w:sz="0" w:space="0" w:color="auto"/>
      </w:divBdr>
    </w:div>
    <w:div w:id="439422349">
      <w:bodyDiv w:val="1"/>
      <w:marLeft w:val="0"/>
      <w:marRight w:val="0"/>
      <w:marTop w:val="0"/>
      <w:marBottom w:val="0"/>
      <w:divBdr>
        <w:top w:val="none" w:sz="0" w:space="0" w:color="auto"/>
        <w:left w:val="none" w:sz="0" w:space="0" w:color="auto"/>
        <w:bottom w:val="none" w:sz="0" w:space="0" w:color="auto"/>
        <w:right w:val="none" w:sz="0" w:space="0" w:color="auto"/>
      </w:divBdr>
    </w:div>
    <w:div w:id="488905775">
      <w:bodyDiv w:val="1"/>
      <w:marLeft w:val="0"/>
      <w:marRight w:val="0"/>
      <w:marTop w:val="0"/>
      <w:marBottom w:val="0"/>
      <w:divBdr>
        <w:top w:val="none" w:sz="0" w:space="0" w:color="auto"/>
        <w:left w:val="none" w:sz="0" w:space="0" w:color="auto"/>
        <w:bottom w:val="none" w:sz="0" w:space="0" w:color="auto"/>
        <w:right w:val="none" w:sz="0" w:space="0" w:color="auto"/>
      </w:divBdr>
    </w:div>
    <w:div w:id="514854331">
      <w:bodyDiv w:val="1"/>
      <w:marLeft w:val="0"/>
      <w:marRight w:val="0"/>
      <w:marTop w:val="0"/>
      <w:marBottom w:val="0"/>
      <w:divBdr>
        <w:top w:val="none" w:sz="0" w:space="0" w:color="auto"/>
        <w:left w:val="none" w:sz="0" w:space="0" w:color="auto"/>
        <w:bottom w:val="none" w:sz="0" w:space="0" w:color="auto"/>
        <w:right w:val="none" w:sz="0" w:space="0" w:color="auto"/>
      </w:divBdr>
    </w:div>
    <w:div w:id="517423826">
      <w:bodyDiv w:val="1"/>
      <w:marLeft w:val="0"/>
      <w:marRight w:val="0"/>
      <w:marTop w:val="0"/>
      <w:marBottom w:val="0"/>
      <w:divBdr>
        <w:top w:val="none" w:sz="0" w:space="0" w:color="auto"/>
        <w:left w:val="none" w:sz="0" w:space="0" w:color="auto"/>
        <w:bottom w:val="none" w:sz="0" w:space="0" w:color="auto"/>
        <w:right w:val="none" w:sz="0" w:space="0" w:color="auto"/>
      </w:divBdr>
    </w:div>
    <w:div w:id="522982387">
      <w:bodyDiv w:val="1"/>
      <w:marLeft w:val="0"/>
      <w:marRight w:val="0"/>
      <w:marTop w:val="0"/>
      <w:marBottom w:val="0"/>
      <w:divBdr>
        <w:top w:val="none" w:sz="0" w:space="0" w:color="auto"/>
        <w:left w:val="none" w:sz="0" w:space="0" w:color="auto"/>
        <w:bottom w:val="none" w:sz="0" w:space="0" w:color="auto"/>
        <w:right w:val="none" w:sz="0" w:space="0" w:color="auto"/>
      </w:divBdr>
    </w:div>
    <w:div w:id="531958617">
      <w:bodyDiv w:val="1"/>
      <w:marLeft w:val="0"/>
      <w:marRight w:val="0"/>
      <w:marTop w:val="0"/>
      <w:marBottom w:val="0"/>
      <w:divBdr>
        <w:top w:val="none" w:sz="0" w:space="0" w:color="auto"/>
        <w:left w:val="none" w:sz="0" w:space="0" w:color="auto"/>
        <w:bottom w:val="none" w:sz="0" w:space="0" w:color="auto"/>
        <w:right w:val="none" w:sz="0" w:space="0" w:color="auto"/>
      </w:divBdr>
    </w:div>
    <w:div w:id="558785685">
      <w:bodyDiv w:val="1"/>
      <w:marLeft w:val="0"/>
      <w:marRight w:val="0"/>
      <w:marTop w:val="0"/>
      <w:marBottom w:val="0"/>
      <w:divBdr>
        <w:top w:val="none" w:sz="0" w:space="0" w:color="auto"/>
        <w:left w:val="none" w:sz="0" w:space="0" w:color="auto"/>
        <w:bottom w:val="none" w:sz="0" w:space="0" w:color="auto"/>
        <w:right w:val="none" w:sz="0" w:space="0" w:color="auto"/>
      </w:divBdr>
    </w:div>
    <w:div w:id="576522347">
      <w:bodyDiv w:val="1"/>
      <w:marLeft w:val="0"/>
      <w:marRight w:val="0"/>
      <w:marTop w:val="0"/>
      <w:marBottom w:val="0"/>
      <w:divBdr>
        <w:top w:val="none" w:sz="0" w:space="0" w:color="auto"/>
        <w:left w:val="none" w:sz="0" w:space="0" w:color="auto"/>
        <w:bottom w:val="none" w:sz="0" w:space="0" w:color="auto"/>
        <w:right w:val="none" w:sz="0" w:space="0" w:color="auto"/>
      </w:divBdr>
    </w:div>
    <w:div w:id="585725146">
      <w:bodyDiv w:val="1"/>
      <w:marLeft w:val="0"/>
      <w:marRight w:val="0"/>
      <w:marTop w:val="0"/>
      <w:marBottom w:val="0"/>
      <w:divBdr>
        <w:top w:val="none" w:sz="0" w:space="0" w:color="auto"/>
        <w:left w:val="none" w:sz="0" w:space="0" w:color="auto"/>
        <w:bottom w:val="none" w:sz="0" w:space="0" w:color="auto"/>
        <w:right w:val="none" w:sz="0" w:space="0" w:color="auto"/>
      </w:divBdr>
    </w:div>
    <w:div w:id="599871168">
      <w:bodyDiv w:val="1"/>
      <w:marLeft w:val="0"/>
      <w:marRight w:val="0"/>
      <w:marTop w:val="0"/>
      <w:marBottom w:val="0"/>
      <w:divBdr>
        <w:top w:val="none" w:sz="0" w:space="0" w:color="auto"/>
        <w:left w:val="none" w:sz="0" w:space="0" w:color="auto"/>
        <w:bottom w:val="none" w:sz="0" w:space="0" w:color="auto"/>
        <w:right w:val="none" w:sz="0" w:space="0" w:color="auto"/>
      </w:divBdr>
    </w:div>
    <w:div w:id="622003602">
      <w:bodyDiv w:val="1"/>
      <w:marLeft w:val="0"/>
      <w:marRight w:val="0"/>
      <w:marTop w:val="0"/>
      <w:marBottom w:val="0"/>
      <w:divBdr>
        <w:top w:val="none" w:sz="0" w:space="0" w:color="auto"/>
        <w:left w:val="none" w:sz="0" w:space="0" w:color="auto"/>
        <w:bottom w:val="none" w:sz="0" w:space="0" w:color="auto"/>
        <w:right w:val="none" w:sz="0" w:space="0" w:color="auto"/>
      </w:divBdr>
    </w:div>
    <w:div w:id="625818848">
      <w:bodyDiv w:val="1"/>
      <w:marLeft w:val="0"/>
      <w:marRight w:val="0"/>
      <w:marTop w:val="0"/>
      <w:marBottom w:val="0"/>
      <w:divBdr>
        <w:top w:val="none" w:sz="0" w:space="0" w:color="auto"/>
        <w:left w:val="none" w:sz="0" w:space="0" w:color="auto"/>
        <w:bottom w:val="none" w:sz="0" w:space="0" w:color="auto"/>
        <w:right w:val="none" w:sz="0" w:space="0" w:color="auto"/>
      </w:divBdr>
    </w:div>
    <w:div w:id="650015930">
      <w:bodyDiv w:val="1"/>
      <w:marLeft w:val="0"/>
      <w:marRight w:val="0"/>
      <w:marTop w:val="0"/>
      <w:marBottom w:val="0"/>
      <w:divBdr>
        <w:top w:val="none" w:sz="0" w:space="0" w:color="auto"/>
        <w:left w:val="none" w:sz="0" w:space="0" w:color="auto"/>
        <w:bottom w:val="none" w:sz="0" w:space="0" w:color="auto"/>
        <w:right w:val="none" w:sz="0" w:space="0" w:color="auto"/>
      </w:divBdr>
    </w:div>
    <w:div w:id="705176114">
      <w:bodyDiv w:val="1"/>
      <w:marLeft w:val="0"/>
      <w:marRight w:val="0"/>
      <w:marTop w:val="0"/>
      <w:marBottom w:val="0"/>
      <w:divBdr>
        <w:top w:val="none" w:sz="0" w:space="0" w:color="auto"/>
        <w:left w:val="none" w:sz="0" w:space="0" w:color="auto"/>
        <w:bottom w:val="none" w:sz="0" w:space="0" w:color="auto"/>
        <w:right w:val="none" w:sz="0" w:space="0" w:color="auto"/>
      </w:divBdr>
    </w:div>
    <w:div w:id="727148169">
      <w:bodyDiv w:val="1"/>
      <w:marLeft w:val="0"/>
      <w:marRight w:val="0"/>
      <w:marTop w:val="0"/>
      <w:marBottom w:val="0"/>
      <w:divBdr>
        <w:top w:val="none" w:sz="0" w:space="0" w:color="auto"/>
        <w:left w:val="none" w:sz="0" w:space="0" w:color="auto"/>
        <w:bottom w:val="none" w:sz="0" w:space="0" w:color="auto"/>
        <w:right w:val="none" w:sz="0" w:space="0" w:color="auto"/>
      </w:divBdr>
    </w:div>
    <w:div w:id="753211943">
      <w:bodyDiv w:val="1"/>
      <w:marLeft w:val="0"/>
      <w:marRight w:val="0"/>
      <w:marTop w:val="0"/>
      <w:marBottom w:val="0"/>
      <w:divBdr>
        <w:top w:val="none" w:sz="0" w:space="0" w:color="auto"/>
        <w:left w:val="none" w:sz="0" w:space="0" w:color="auto"/>
        <w:bottom w:val="none" w:sz="0" w:space="0" w:color="auto"/>
        <w:right w:val="none" w:sz="0" w:space="0" w:color="auto"/>
      </w:divBdr>
      <w:divsChild>
        <w:div w:id="1859856872">
          <w:marLeft w:val="0"/>
          <w:marRight w:val="0"/>
          <w:marTop w:val="0"/>
          <w:marBottom w:val="0"/>
          <w:divBdr>
            <w:top w:val="none" w:sz="0" w:space="0" w:color="auto"/>
            <w:left w:val="none" w:sz="0" w:space="0" w:color="auto"/>
            <w:bottom w:val="none" w:sz="0" w:space="0" w:color="auto"/>
            <w:right w:val="none" w:sz="0" w:space="0" w:color="auto"/>
          </w:divBdr>
        </w:div>
      </w:divsChild>
    </w:div>
    <w:div w:id="768701017">
      <w:bodyDiv w:val="1"/>
      <w:marLeft w:val="0"/>
      <w:marRight w:val="0"/>
      <w:marTop w:val="0"/>
      <w:marBottom w:val="0"/>
      <w:divBdr>
        <w:top w:val="none" w:sz="0" w:space="0" w:color="auto"/>
        <w:left w:val="none" w:sz="0" w:space="0" w:color="auto"/>
        <w:bottom w:val="none" w:sz="0" w:space="0" w:color="auto"/>
        <w:right w:val="none" w:sz="0" w:space="0" w:color="auto"/>
      </w:divBdr>
    </w:div>
    <w:div w:id="784078437">
      <w:bodyDiv w:val="1"/>
      <w:marLeft w:val="0"/>
      <w:marRight w:val="0"/>
      <w:marTop w:val="0"/>
      <w:marBottom w:val="0"/>
      <w:divBdr>
        <w:top w:val="none" w:sz="0" w:space="0" w:color="auto"/>
        <w:left w:val="none" w:sz="0" w:space="0" w:color="auto"/>
        <w:bottom w:val="none" w:sz="0" w:space="0" w:color="auto"/>
        <w:right w:val="none" w:sz="0" w:space="0" w:color="auto"/>
      </w:divBdr>
    </w:div>
    <w:div w:id="794366769">
      <w:bodyDiv w:val="1"/>
      <w:marLeft w:val="0"/>
      <w:marRight w:val="0"/>
      <w:marTop w:val="0"/>
      <w:marBottom w:val="0"/>
      <w:divBdr>
        <w:top w:val="none" w:sz="0" w:space="0" w:color="auto"/>
        <w:left w:val="none" w:sz="0" w:space="0" w:color="auto"/>
        <w:bottom w:val="none" w:sz="0" w:space="0" w:color="auto"/>
        <w:right w:val="none" w:sz="0" w:space="0" w:color="auto"/>
      </w:divBdr>
    </w:div>
    <w:div w:id="799609494">
      <w:bodyDiv w:val="1"/>
      <w:marLeft w:val="0"/>
      <w:marRight w:val="0"/>
      <w:marTop w:val="0"/>
      <w:marBottom w:val="0"/>
      <w:divBdr>
        <w:top w:val="none" w:sz="0" w:space="0" w:color="auto"/>
        <w:left w:val="none" w:sz="0" w:space="0" w:color="auto"/>
        <w:bottom w:val="none" w:sz="0" w:space="0" w:color="auto"/>
        <w:right w:val="none" w:sz="0" w:space="0" w:color="auto"/>
      </w:divBdr>
    </w:div>
    <w:div w:id="800927637">
      <w:bodyDiv w:val="1"/>
      <w:marLeft w:val="0"/>
      <w:marRight w:val="0"/>
      <w:marTop w:val="0"/>
      <w:marBottom w:val="0"/>
      <w:divBdr>
        <w:top w:val="none" w:sz="0" w:space="0" w:color="auto"/>
        <w:left w:val="none" w:sz="0" w:space="0" w:color="auto"/>
        <w:bottom w:val="none" w:sz="0" w:space="0" w:color="auto"/>
        <w:right w:val="none" w:sz="0" w:space="0" w:color="auto"/>
      </w:divBdr>
    </w:div>
    <w:div w:id="801769158">
      <w:bodyDiv w:val="1"/>
      <w:marLeft w:val="0"/>
      <w:marRight w:val="0"/>
      <w:marTop w:val="0"/>
      <w:marBottom w:val="0"/>
      <w:divBdr>
        <w:top w:val="none" w:sz="0" w:space="0" w:color="auto"/>
        <w:left w:val="none" w:sz="0" w:space="0" w:color="auto"/>
        <w:bottom w:val="none" w:sz="0" w:space="0" w:color="auto"/>
        <w:right w:val="none" w:sz="0" w:space="0" w:color="auto"/>
      </w:divBdr>
    </w:div>
    <w:div w:id="817263394">
      <w:bodyDiv w:val="1"/>
      <w:marLeft w:val="0"/>
      <w:marRight w:val="0"/>
      <w:marTop w:val="0"/>
      <w:marBottom w:val="0"/>
      <w:divBdr>
        <w:top w:val="none" w:sz="0" w:space="0" w:color="auto"/>
        <w:left w:val="none" w:sz="0" w:space="0" w:color="auto"/>
        <w:bottom w:val="none" w:sz="0" w:space="0" w:color="auto"/>
        <w:right w:val="none" w:sz="0" w:space="0" w:color="auto"/>
      </w:divBdr>
    </w:div>
    <w:div w:id="831868340">
      <w:bodyDiv w:val="1"/>
      <w:marLeft w:val="0"/>
      <w:marRight w:val="0"/>
      <w:marTop w:val="0"/>
      <w:marBottom w:val="0"/>
      <w:divBdr>
        <w:top w:val="none" w:sz="0" w:space="0" w:color="auto"/>
        <w:left w:val="none" w:sz="0" w:space="0" w:color="auto"/>
        <w:bottom w:val="none" w:sz="0" w:space="0" w:color="auto"/>
        <w:right w:val="none" w:sz="0" w:space="0" w:color="auto"/>
      </w:divBdr>
    </w:div>
    <w:div w:id="870073555">
      <w:bodyDiv w:val="1"/>
      <w:marLeft w:val="0"/>
      <w:marRight w:val="0"/>
      <w:marTop w:val="0"/>
      <w:marBottom w:val="0"/>
      <w:divBdr>
        <w:top w:val="none" w:sz="0" w:space="0" w:color="auto"/>
        <w:left w:val="none" w:sz="0" w:space="0" w:color="auto"/>
        <w:bottom w:val="none" w:sz="0" w:space="0" w:color="auto"/>
        <w:right w:val="none" w:sz="0" w:space="0" w:color="auto"/>
      </w:divBdr>
    </w:div>
    <w:div w:id="892154293">
      <w:bodyDiv w:val="1"/>
      <w:marLeft w:val="0"/>
      <w:marRight w:val="0"/>
      <w:marTop w:val="0"/>
      <w:marBottom w:val="0"/>
      <w:divBdr>
        <w:top w:val="none" w:sz="0" w:space="0" w:color="auto"/>
        <w:left w:val="none" w:sz="0" w:space="0" w:color="auto"/>
        <w:bottom w:val="none" w:sz="0" w:space="0" w:color="auto"/>
        <w:right w:val="none" w:sz="0" w:space="0" w:color="auto"/>
      </w:divBdr>
    </w:div>
    <w:div w:id="906261301">
      <w:bodyDiv w:val="1"/>
      <w:marLeft w:val="0"/>
      <w:marRight w:val="0"/>
      <w:marTop w:val="0"/>
      <w:marBottom w:val="0"/>
      <w:divBdr>
        <w:top w:val="none" w:sz="0" w:space="0" w:color="auto"/>
        <w:left w:val="none" w:sz="0" w:space="0" w:color="auto"/>
        <w:bottom w:val="none" w:sz="0" w:space="0" w:color="auto"/>
        <w:right w:val="none" w:sz="0" w:space="0" w:color="auto"/>
      </w:divBdr>
    </w:div>
    <w:div w:id="907420434">
      <w:bodyDiv w:val="1"/>
      <w:marLeft w:val="0"/>
      <w:marRight w:val="0"/>
      <w:marTop w:val="0"/>
      <w:marBottom w:val="0"/>
      <w:divBdr>
        <w:top w:val="none" w:sz="0" w:space="0" w:color="auto"/>
        <w:left w:val="none" w:sz="0" w:space="0" w:color="auto"/>
        <w:bottom w:val="none" w:sz="0" w:space="0" w:color="auto"/>
        <w:right w:val="none" w:sz="0" w:space="0" w:color="auto"/>
      </w:divBdr>
    </w:div>
    <w:div w:id="910583300">
      <w:bodyDiv w:val="1"/>
      <w:marLeft w:val="0"/>
      <w:marRight w:val="0"/>
      <w:marTop w:val="0"/>
      <w:marBottom w:val="0"/>
      <w:divBdr>
        <w:top w:val="none" w:sz="0" w:space="0" w:color="auto"/>
        <w:left w:val="none" w:sz="0" w:space="0" w:color="auto"/>
        <w:bottom w:val="none" w:sz="0" w:space="0" w:color="auto"/>
        <w:right w:val="none" w:sz="0" w:space="0" w:color="auto"/>
      </w:divBdr>
    </w:div>
    <w:div w:id="937564921">
      <w:bodyDiv w:val="1"/>
      <w:marLeft w:val="0"/>
      <w:marRight w:val="0"/>
      <w:marTop w:val="0"/>
      <w:marBottom w:val="0"/>
      <w:divBdr>
        <w:top w:val="none" w:sz="0" w:space="0" w:color="auto"/>
        <w:left w:val="none" w:sz="0" w:space="0" w:color="auto"/>
        <w:bottom w:val="none" w:sz="0" w:space="0" w:color="auto"/>
        <w:right w:val="none" w:sz="0" w:space="0" w:color="auto"/>
      </w:divBdr>
    </w:div>
    <w:div w:id="944456009">
      <w:bodyDiv w:val="1"/>
      <w:marLeft w:val="0"/>
      <w:marRight w:val="0"/>
      <w:marTop w:val="0"/>
      <w:marBottom w:val="0"/>
      <w:divBdr>
        <w:top w:val="none" w:sz="0" w:space="0" w:color="auto"/>
        <w:left w:val="none" w:sz="0" w:space="0" w:color="auto"/>
        <w:bottom w:val="none" w:sz="0" w:space="0" w:color="auto"/>
        <w:right w:val="none" w:sz="0" w:space="0" w:color="auto"/>
      </w:divBdr>
    </w:div>
    <w:div w:id="961233044">
      <w:bodyDiv w:val="1"/>
      <w:marLeft w:val="0"/>
      <w:marRight w:val="0"/>
      <w:marTop w:val="0"/>
      <w:marBottom w:val="0"/>
      <w:divBdr>
        <w:top w:val="none" w:sz="0" w:space="0" w:color="auto"/>
        <w:left w:val="none" w:sz="0" w:space="0" w:color="auto"/>
        <w:bottom w:val="none" w:sz="0" w:space="0" w:color="auto"/>
        <w:right w:val="none" w:sz="0" w:space="0" w:color="auto"/>
      </w:divBdr>
    </w:div>
    <w:div w:id="975918538">
      <w:bodyDiv w:val="1"/>
      <w:marLeft w:val="0"/>
      <w:marRight w:val="0"/>
      <w:marTop w:val="0"/>
      <w:marBottom w:val="0"/>
      <w:divBdr>
        <w:top w:val="none" w:sz="0" w:space="0" w:color="auto"/>
        <w:left w:val="none" w:sz="0" w:space="0" w:color="auto"/>
        <w:bottom w:val="none" w:sz="0" w:space="0" w:color="auto"/>
        <w:right w:val="none" w:sz="0" w:space="0" w:color="auto"/>
      </w:divBdr>
    </w:div>
    <w:div w:id="1001084558">
      <w:bodyDiv w:val="1"/>
      <w:marLeft w:val="0"/>
      <w:marRight w:val="0"/>
      <w:marTop w:val="0"/>
      <w:marBottom w:val="0"/>
      <w:divBdr>
        <w:top w:val="none" w:sz="0" w:space="0" w:color="auto"/>
        <w:left w:val="none" w:sz="0" w:space="0" w:color="auto"/>
        <w:bottom w:val="none" w:sz="0" w:space="0" w:color="auto"/>
        <w:right w:val="none" w:sz="0" w:space="0" w:color="auto"/>
      </w:divBdr>
    </w:div>
    <w:div w:id="1006320112">
      <w:bodyDiv w:val="1"/>
      <w:marLeft w:val="0"/>
      <w:marRight w:val="0"/>
      <w:marTop w:val="0"/>
      <w:marBottom w:val="0"/>
      <w:divBdr>
        <w:top w:val="none" w:sz="0" w:space="0" w:color="auto"/>
        <w:left w:val="none" w:sz="0" w:space="0" w:color="auto"/>
        <w:bottom w:val="none" w:sz="0" w:space="0" w:color="auto"/>
        <w:right w:val="none" w:sz="0" w:space="0" w:color="auto"/>
      </w:divBdr>
    </w:div>
    <w:div w:id="1046761226">
      <w:bodyDiv w:val="1"/>
      <w:marLeft w:val="0"/>
      <w:marRight w:val="0"/>
      <w:marTop w:val="0"/>
      <w:marBottom w:val="0"/>
      <w:divBdr>
        <w:top w:val="none" w:sz="0" w:space="0" w:color="auto"/>
        <w:left w:val="none" w:sz="0" w:space="0" w:color="auto"/>
        <w:bottom w:val="none" w:sz="0" w:space="0" w:color="auto"/>
        <w:right w:val="none" w:sz="0" w:space="0" w:color="auto"/>
      </w:divBdr>
    </w:div>
    <w:div w:id="1088581141">
      <w:bodyDiv w:val="1"/>
      <w:marLeft w:val="0"/>
      <w:marRight w:val="0"/>
      <w:marTop w:val="0"/>
      <w:marBottom w:val="0"/>
      <w:divBdr>
        <w:top w:val="none" w:sz="0" w:space="0" w:color="auto"/>
        <w:left w:val="none" w:sz="0" w:space="0" w:color="auto"/>
        <w:bottom w:val="none" w:sz="0" w:space="0" w:color="auto"/>
        <w:right w:val="none" w:sz="0" w:space="0" w:color="auto"/>
      </w:divBdr>
    </w:div>
    <w:div w:id="1108235562">
      <w:bodyDiv w:val="1"/>
      <w:marLeft w:val="0"/>
      <w:marRight w:val="0"/>
      <w:marTop w:val="0"/>
      <w:marBottom w:val="0"/>
      <w:divBdr>
        <w:top w:val="none" w:sz="0" w:space="0" w:color="auto"/>
        <w:left w:val="none" w:sz="0" w:space="0" w:color="auto"/>
        <w:bottom w:val="none" w:sz="0" w:space="0" w:color="auto"/>
        <w:right w:val="none" w:sz="0" w:space="0" w:color="auto"/>
      </w:divBdr>
    </w:div>
    <w:div w:id="1152872379">
      <w:bodyDiv w:val="1"/>
      <w:marLeft w:val="0"/>
      <w:marRight w:val="0"/>
      <w:marTop w:val="0"/>
      <w:marBottom w:val="0"/>
      <w:divBdr>
        <w:top w:val="none" w:sz="0" w:space="0" w:color="auto"/>
        <w:left w:val="none" w:sz="0" w:space="0" w:color="auto"/>
        <w:bottom w:val="none" w:sz="0" w:space="0" w:color="auto"/>
        <w:right w:val="none" w:sz="0" w:space="0" w:color="auto"/>
      </w:divBdr>
    </w:div>
    <w:div w:id="1154562323">
      <w:bodyDiv w:val="1"/>
      <w:marLeft w:val="0"/>
      <w:marRight w:val="0"/>
      <w:marTop w:val="0"/>
      <w:marBottom w:val="0"/>
      <w:divBdr>
        <w:top w:val="none" w:sz="0" w:space="0" w:color="auto"/>
        <w:left w:val="none" w:sz="0" w:space="0" w:color="auto"/>
        <w:bottom w:val="none" w:sz="0" w:space="0" w:color="auto"/>
        <w:right w:val="none" w:sz="0" w:space="0" w:color="auto"/>
      </w:divBdr>
    </w:div>
    <w:div w:id="1163011930">
      <w:bodyDiv w:val="1"/>
      <w:marLeft w:val="0"/>
      <w:marRight w:val="0"/>
      <w:marTop w:val="0"/>
      <w:marBottom w:val="0"/>
      <w:divBdr>
        <w:top w:val="none" w:sz="0" w:space="0" w:color="auto"/>
        <w:left w:val="none" w:sz="0" w:space="0" w:color="auto"/>
        <w:bottom w:val="none" w:sz="0" w:space="0" w:color="auto"/>
        <w:right w:val="none" w:sz="0" w:space="0" w:color="auto"/>
      </w:divBdr>
    </w:div>
    <w:div w:id="1188563571">
      <w:bodyDiv w:val="1"/>
      <w:marLeft w:val="0"/>
      <w:marRight w:val="0"/>
      <w:marTop w:val="0"/>
      <w:marBottom w:val="0"/>
      <w:divBdr>
        <w:top w:val="none" w:sz="0" w:space="0" w:color="auto"/>
        <w:left w:val="none" w:sz="0" w:space="0" w:color="auto"/>
        <w:bottom w:val="none" w:sz="0" w:space="0" w:color="auto"/>
        <w:right w:val="none" w:sz="0" w:space="0" w:color="auto"/>
      </w:divBdr>
    </w:div>
    <w:div w:id="1189417999">
      <w:bodyDiv w:val="1"/>
      <w:marLeft w:val="0"/>
      <w:marRight w:val="0"/>
      <w:marTop w:val="0"/>
      <w:marBottom w:val="0"/>
      <w:divBdr>
        <w:top w:val="none" w:sz="0" w:space="0" w:color="auto"/>
        <w:left w:val="none" w:sz="0" w:space="0" w:color="auto"/>
        <w:bottom w:val="none" w:sz="0" w:space="0" w:color="auto"/>
        <w:right w:val="none" w:sz="0" w:space="0" w:color="auto"/>
      </w:divBdr>
    </w:div>
    <w:div w:id="1240021279">
      <w:bodyDiv w:val="1"/>
      <w:marLeft w:val="0"/>
      <w:marRight w:val="0"/>
      <w:marTop w:val="0"/>
      <w:marBottom w:val="0"/>
      <w:divBdr>
        <w:top w:val="none" w:sz="0" w:space="0" w:color="auto"/>
        <w:left w:val="none" w:sz="0" w:space="0" w:color="auto"/>
        <w:bottom w:val="none" w:sz="0" w:space="0" w:color="auto"/>
        <w:right w:val="none" w:sz="0" w:space="0" w:color="auto"/>
      </w:divBdr>
    </w:div>
    <w:div w:id="1256015590">
      <w:bodyDiv w:val="1"/>
      <w:marLeft w:val="0"/>
      <w:marRight w:val="0"/>
      <w:marTop w:val="0"/>
      <w:marBottom w:val="0"/>
      <w:divBdr>
        <w:top w:val="none" w:sz="0" w:space="0" w:color="auto"/>
        <w:left w:val="none" w:sz="0" w:space="0" w:color="auto"/>
        <w:bottom w:val="none" w:sz="0" w:space="0" w:color="auto"/>
        <w:right w:val="none" w:sz="0" w:space="0" w:color="auto"/>
      </w:divBdr>
    </w:div>
    <w:div w:id="1273442074">
      <w:bodyDiv w:val="1"/>
      <w:marLeft w:val="0"/>
      <w:marRight w:val="0"/>
      <w:marTop w:val="0"/>
      <w:marBottom w:val="0"/>
      <w:divBdr>
        <w:top w:val="none" w:sz="0" w:space="0" w:color="auto"/>
        <w:left w:val="none" w:sz="0" w:space="0" w:color="auto"/>
        <w:bottom w:val="none" w:sz="0" w:space="0" w:color="auto"/>
        <w:right w:val="none" w:sz="0" w:space="0" w:color="auto"/>
      </w:divBdr>
    </w:div>
    <w:div w:id="1282810118">
      <w:bodyDiv w:val="1"/>
      <w:marLeft w:val="0"/>
      <w:marRight w:val="0"/>
      <w:marTop w:val="0"/>
      <w:marBottom w:val="0"/>
      <w:divBdr>
        <w:top w:val="none" w:sz="0" w:space="0" w:color="auto"/>
        <w:left w:val="none" w:sz="0" w:space="0" w:color="auto"/>
        <w:bottom w:val="none" w:sz="0" w:space="0" w:color="auto"/>
        <w:right w:val="none" w:sz="0" w:space="0" w:color="auto"/>
      </w:divBdr>
    </w:div>
    <w:div w:id="1283919981">
      <w:bodyDiv w:val="1"/>
      <w:marLeft w:val="0"/>
      <w:marRight w:val="0"/>
      <w:marTop w:val="0"/>
      <w:marBottom w:val="0"/>
      <w:divBdr>
        <w:top w:val="none" w:sz="0" w:space="0" w:color="auto"/>
        <w:left w:val="none" w:sz="0" w:space="0" w:color="auto"/>
        <w:bottom w:val="none" w:sz="0" w:space="0" w:color="auto"/>
        <w:right w:val="none" w:sz="0" w:space="0" w:color="auto"/>
      </w:divBdr>
    </w:div>
    <w:div w:id="1306661539">
      <w:bodyDiv w:val="1"/>
      <w:marLeft w:val="0"/>
      <w:marRight w:val="0"/>
      <w:marTop w:val="0"/>
      <w:marBottom w:val="0"/>
      <w:divBdr>
        <w:top w:val="none" w:sz="0" w:space="0" w:color="auto"/>
        <w:left w:val="none" w:sz="0" w:space="0" w:color="auto"/>
        <w:bottom w:val="none" w:sz="0" w:space="0" w:color="auto"/>
        <w:right w:val="none" w:sz="0" w:space="0" w:color="auto"/>
      </w:divBdr>
    </w:div>
    <w:div w:id="1352294673">
      <w:bodyDiv w:val="1"/>
      <w:marLeft w:val="0"/>
      <w:marRight w:val="0"/>
      <w:marTop w:val="0"/>
      <w:marBottom w:val="0"/>
      <w:divBdr>
        <w:top w:val="none" w:sz="0" w:space="0" w:color="auto"/>
        <w:left w:val="none" w:sz="0" w:space="0" w:color="auto"/>
        <w:bottom w:val="none" w:sz="0" w:space="0" w:color="auto"/>
        <w:right w:val="none" w:sz="0" w:space="0" w:color="auto"/>
      </w:divBdr>
    </w:div>
    <w:div w:id="1352537325">
      <w:bodyDiv w:val="1"/>
      <w:marLeft w:val="0"/>
      <w:marRight w:val="0"/>
      <w:marTop w:val="0"/>
      <w:marBottom w:val="0"/>
      <w:divBdr>
        <w:top w:val="none" w:sz="0" w:space="0" w:color="auto"/>
        <w:left w:val="none" w:sz="0" w:space="0" w:color="auto"/>
        <w:bottom w:val="none" w:sz="0" w:space="0" w:color="auto"/>
        <w:right w:val="none" w:sz="0" w:space="0" w:color="auto"/>
      </w:divBdr>
    </w:div>
    <w:div w:id="1362394914">
      <w:bodyDiv w:val="1"/>
      <w:marLeft w:val="0"/>
      <w:marRight w:val="0"/>
      <w:marTop w:val="0"/>
      <w:marBottom w:val="0"/>
      <w:divBdr>
        <w:top w:val="none" w:sz="0" w:space="0" w:color="auto"/>
        <w:left w:val="none" w:sz="0" w:space="0" w:color="auto"/>
        <w:bottom w:val="none" w:sz="0" w:space="0" w:color="auto"/>
        <w:right w:val="none" w:sz="0" w:space="0" w:color="auto"/>
      </w:divBdr>
    </w:div>
    <w:div w:id="1383217168">
      <w:bodyDiv w:val="1"/>
      <w:marLeft w:val="0"/>
      <w:marRight w:val="0"/>
      <w:marTop w:val="0"/>
      <w:marBottom w:val="0"/>
      <w:divBdr>
        <w:top w:val="none" w:sz="0" w:space="0" w:color="auto"/>
        <w:left w:val="none" w:sz="0" w:space="0" w:color="auto"/>
        <w:bottom w:val="none" w:sz="0" w:space="0" w:color="auto"/>
        <w:right w:val="none" w:sz="0" w:space="0" w:color="auto"/>
      </w:divBdr>
    </w:div>
    <w:div w:id="1419332322">
      <w:bodyDiv w:val="1"/>
      <w:marLeft w:val="0"/>
      <w:marRight w:val="0"/>
      <w:marTop w:val="0"/>
      <w:marBottom w:val="0"/>
      <w:divBdr>
        <w:top w:val="none" w:sz="0" w:space="0" w:color="auto"/>
        <w:left w:val="none" w:sz="0" w:space="0" w:color="auto"/>
        <w:bottom w:val="none" w:sz="0" w:space="0" w:color="auto"/>
        <w:right w:val="none" w:sz="0" w:space="0" w:color="auto"/>
      </w:divBdr>
    </w:div>
    <w:div w:id="1435125131">
      <w:bodyDiv w:val="1"/>
      <w:marLeft w:val="0"/>
      <w:marRight w:val="0"/>
      <w:marTop w:val="0"/>
      <w:marBottom w:val="0"/>
      <w:divBdr>
        <w:top w:val="none" w:sz="0" w:space="0" w:color="auto"/>
        <w:left w:val="none" w:sz="0" w:space="0" w:color="auto"/>
        <w:bottom w:val="none" w:sz="0" w:space="0" w:color="auto"/>
        <w:right w:val="none" w:sz="0" w:space="0" w:color="auto"/>
      </w:divBdr>
    </w:div>
    <w:div w:id="1460682138">
      <w:bodyDiv w:val="1"/>
      <w:marLeft w:val="0"/>
      <w:marRight w:val="0"/>
      <w:marTop w:val="0"/>
      <w:marBottom w:val="0"/>
      <w:divBdr>
        <w:top w:val="none" w:sz="0" w:space="0" w:color="auto"/>
        <w:left w:val="none" w:sz="0" w:space="0" w:color="auto"/>
        <w:bottom w:val="none" w:sz="0" w:space="0" w:color="auto"/>
        <w:right w:val="none" w:sz="0" w:space="0" w:color="auto"/>
      </w:divBdr>
    </w:div>
    <w:div w:id="1492212950">
      <w:bodyDiv w:val="1"/>
      <w:marLeft w:val="0"/>
      <w:marRight w:val="0"/>
      <w:marTop w:val="0"/>
      <w:marBottom w:val="0"/>
      <w:divBdr>
        <w:top w:val="none" w:sz="0" w:space="0" w:color="auto"/>
        <w:left w:val="none" w:sz="0" w:space="0" w:color="auto"/>
        <w:bottom w:val="none" w:sz="0" w:space="0" w:color="auto"/>
        <w:right w:val="none" w:sz="0" w:space="0" w:color="auto"/>
      </w:divBdr>
    </w:div>
    <w:div w:id="1540436434">
      <w:bodyDiv w:val="1"/>
      <w:marLeft w:val="0"/>
      <w:marRight w:val="0"/>
      <w:marTop w:val="0"/>
      <w:marBottom w:val="0"/>
      <w:divBdr>
        <w:top w:val="none" w:sz="0" w:space="0" w:color="auto"/>
        <w:left w:val="none" w:sz="0" w:space="0" w:color="auto"/>
        <w:bottom w:val="none" w:sz="0" w:space="0" w:color="auto"/>
        <w:right w:val="none" w:sz="0" w:space="0" w:color="auto"/>
      </w:divBdr>
    </w:div>
    <w:div w:id="1558854699">
      <w:bodyDiv w:val="1"/>
      <w:marLeft w:val="0"/>
      <w:marRight w:val="0"/>
      <w:marTop w:val="0"/>
      <w:marBottom w:val="0"/>
      <w:divBdr>
        <w:top w:val="none" w:sz="0" w:space="0" w:color="auto"/>
        <w:left w:val="none" w:sz="0" w:space="0" w:color="auto"/>
        <w:bottom w:val="none" w:sz="0" w:space="0" w:color="auto"/>
        <w:right w:val="none" w:sz="0" w:space="0" w:color="auto"/>
      </w:divBdr>
    </w:div>
    <w:div w:id="1579946054">
      <w:bodyDiv w:val="1"/>
      <w:marLeft w:val="0"/>
      <w:marRight w:val="0"/>
      <w:marTop w:val="0"/>
      <w:marBottom w:val="0"/>
      <w:divBdr>
        <w:top w:val="none" w:sz="0" w:space="0" w:color="auto"/>
        <w:left w:val="none" w:sz="0" w:space="0" w:color="auto"/>
        <w:bottom w:val="none" w:sz="0" w:space="0" w:color="auto"/>
        <w:right w:val="none" w:sz="0" w:space="0" w:color="auto"/>
      </w:divBdr>
    </w:div>
    <w:div w:id="1591887153">
      <w:bodyDiv w:val="1"/>
      <w:marLeft w:val="0"/>
      <w:marRight w:val="0"/>
      <w:marTop w:val="0"/>
      <w:marBottom w:val="0"/>
      <w:divBdr>
        <w:top w:val="none" w:sz="0" w:space="0" w:color="auto"/>
        <w:left w:val="none" w:sz="0" w:space="0" w:color="auto"/>
        <w:bottom w:val="none" w:sz="0" w:space="0" w:color="auto"/>
        <w:right w:val="none" w:sz="0" w:space="0" w:color="auto"/>
      </w:divBdr>
    </w:div>
    <w:div w:id="1626503324">
      <w:bodyDiv w:val="1"/>
      <w:marLeft w:val="0"/>
      <w:marRight w:val="0"/>
      <w:marTop w:val="0"/>
      <w:marBottom w:val="0"/>
      <w:divBdr>
        <w:top w:val="none" w:sz="0" w:space="0" w:color="auto"/>
        <w:left w:val="none" w:sz="0" w:space="0" w:color="auto"/>
        <w:bottom w:val="none" w:sz="0" w:space="0" w:color="auto"/>
        <w:right w:val="none" w:sz="0" w:space="0" w:color="auto"/>
      </w:divBdr>
    </w:div>
    <w:div w:id="1630625594">
      <w:bodyDiv w:val="1"/>
      <w:marLeft w:val="0"/>
      <w:marRight w:val="0"/>
      <w:marTop w:val="0"/>
      <w:marBottom w:val="0"/>
      <w:divBdr>
        <w:top w:val="none" w:sz="0" w:space="0" w:color="auto"/>
        <w:left w:val="none" w:sz="0" w:space="0" w:color="auto"/>
        <w:bottom w:val="none" w:sz="0" w:space="0" w:color="auto"/>
        <w:right w:val="none" w:sz="0" w:space="0" w:color="auto"/>
      </w:divBdr>
    </w:div>
    <w:div w:id="1632248791">
      <w:bodyDiv w:val="1"/>
      <w:marLeft w:val="0"/>
      <w:marRight w:val="0"/>
      <w:marTop w:val="0"/>
      <w:marBottom w:val="0"/>
      <w:divBdr>
        <w:top w:val="none" w:sz="0" w:space="0" w:color="auto"/>
        <w:left w:val="none" w:sz="0" w:space="0" w:color="auto"/>
        <w:bottom w:val="none" w:sz="0" w:space="0" w:color="auto"/>
        <w:right w:val="none" w:sz="0" w:space="0" w:color="auto"/>
      </w:divBdr>
    </w:div>
    <w:div w:id="1637879924">
      <w:bodyDiv w:val="1"/>
      <w:marLeft w:val="0"/>
      <w:marRight w:val="0"/>
      <w:marTop w:val="0"/>
      <w:marBottom w:val="0"/>
      <w:divBdr>
        <w:top w:val="none" w:sz="0" w:space="0" w:color="auto"/>
        <w:left w:val="none" w:sz="0" w:space="0" w:color="auto"/>
        <w:bottom w:val="none" w:sz="0" w:space="0" w:color="auto"/>
        <w:right w:val="none" w:sz="0" w:space="0" w:color="auto"/>
      </w:divBdr>
    </w:div>
    <w:div w:id="1656254988">
      <w:bodyDiv w:val="1"/>
      <w:marLeft w:val="0"/>
      <w:marRight w:val="0"/>
      <w:marTop w:val="0"/>
      <w:marBottom w:val="0"/>
      <w:divBdr>
        <w:top w:val="none" w:sz="0" w:space="0" w:color="auto"/>
        <w:left w:val="none" w:sz="0" w:space="0" w:color="auto"/>
        <w:bottom w:val="none" w:sz="0" w:space="0" w:color="auto"/>
        <w:right w:val="none" w:sz="0" w:space="0" w:color="auto"/>
      </w:divBdr>
    </w:div>
    <w:div w:id="1679191644">
      <w:bodyDiv w:val="1"/>
      <w:marLeft w:val="0"/>
      <w:marRight w:val="0"/>
      <w:marTop w:val="0"/>
      <w:marBottom w:val="0"/>
      <w:divBdr>
        <w:top w:val="none" w:sz="0" w:space="0" w:color="auto"/>
        <w:left w:val="none" w:sz="0" w:space="0" w:color="auto"/>
        <w:bottom w:val="none" w:sz="0" w:space="0" w:color="auto"/>
        <w:right w:val="none" w:sz="0" w:space="0" w:color="auto"/>
      </w:divBdr>
    </w:div>
    <w:div w:id="1725135057">
      <w:bodyDiv w:val="1"/>
      <w:marLeft w:val="0"/>
      <w:marRight w:val="0"/>
      <w:marTop w:val="0"/>
      <w:marBottom w:val="0"/>
      <w:divBdr>
        <w:top w:val="none" w:sz="0" w:space="0" w:color="auto"/>
        <w:left w:val="none" w:sz="0" w:space="0" w:color="auto"/>
        <w:bottom w:val="none" w:sz="0" w:space="0" w:color="auto"/>
        <w:right w:val="none" w:sz="0" w:space="0" w:color="auto"/>
      </w:divBdr>
    </w:div>
    <w:div w:id="1745490434">
      <w:bodyDiv w:val="1"/>
      <w:marLeft w:val="0"/>
      <w:marRight w:val="0"/>
      <w:marTop w:val="0"/>
      <w:marBottom w:val="0"/>
      <w:divBdr>
        <w:top w:val="none" w:sz="0" w:space="0" w:color="auto"/>
        <w:left w:val="none" w:sz="0" w:space="0" w:color="auto"/>
        <w:bottom w:val="none" w:sz="0" w:space="0" w:color="auto"/>
        <w:right w:val="none" w:sz="0" w:space="0" w:color="auto"/>
      </w:divBdr>
    </w:div>
    <w:div w:id="1775249845">
      <w:bodyDiv w:val="1"/>
      <w:marLeft w:val="0"/>
      <w:marRight w:val="0"/>
      <w:marTop w:val="0"/>
      <w:marBottom w:val="0"/>
      <w:divBdr>
        <w:top w:val="none" w:sz="0" w:space="0" w:color="auto"/>
        <w:left w:val="none" w:sz="0" w:space="0" w:color="auto"/>
        <w:bottom w:val="none" w:sz="0" w:space="0" w:color="auto"/>
        <w:right w:val="none" w:sz="0" w:space="0" w:color="auto"/>
      </w:divBdr>
    </w:div>
    <w:div w:id="1778796073">
      <w:bodyDiv w:val="1"/>
      <w:marLeft w:val="0"/>
      <w:marRight w:val="0"/>
      <w:marTop w:val="0"/>
      <w:marBottom w:val="0"/>
      <w:divBdr>
        <w:top w:val="none" w:sz="0" w:space="0" w:color="auto"/>
        <w:left w:val="none" w:sz="0" w:space="0" w:color="auto"/>
        <w:bottom w:val="none" w:sz="0" w:space="0" w:color="auto"/>
        <w:right w:val="none" w:sz="0" w:space="0" w:color="auto"/>
      </w:divBdr>
    </w:div>
    <w:div w:id="1807157662">
      <w:bodyDiv w:val="1"/>
      <w:marLeft w:val="0"/>
      <w:marRight w:val="0"/>
      <w:marTop w:val="0"/>
      <w:marBottom w:val="0"/>
      <w:divBdr>
        <w:top w:val="none" w:sz="0" w:space="0" w:color="auto"/>
        <w:left w:val="none" w:sz="0" w:space="0" w:color="auto"/>
        <w:bottom w:val="none" w:sz="0" w:space="0" w:color="auto"/>
        <w:right w:val="none" w:sz="0" w:space="0" w:color="auto"/>
      </w:divBdr>
    </w:div>
    <w:div w:id="1811284508">
      <w:bodyDiv w:val="1"/>
      <w:marLeft w:val="0"/>
      <w:marRight w:val="0"/>
      <w:marTop w:val="0"/>
      <w:marBottom w:val="0"/>
      <w:divBdr>
        <w:top w:val="none" w:sz="0" w:space="0" w:color="auto"/>
        <w:left w:val="none" w:sz="0" w:space="0" w:color="auto"/>
        <w:bottom w:val="none" w:sz="0" w:space="0" w:color="auto"/>
        <w:right w:val="none" w:sz="0" w:space="0" w:color="auto"/>
      </w:divBdr>
    </w:div>
    <w:div w:id="1812281462">
      <w:bodyDiv w:val="1"/>
      <w:marLeft w:val="0"/>
      <w:marRight w:val="0"/>
      <w:marTop w:val="0"/>
      <w:marBottom w:val="0"/>
      <w:divBdr>
        <w:top w:val="none" w:sz="0" w:space="0" w:color="auto"/>
        <w:left w:val="none" w:sz="0" w:space="0" w:color="auto"/>
        <w:bottom w:val="none" w:sz="0" w:space="0" w:color="auto"/>
        <w:right w:val="none" w:sz="0" w:space="0" w:color="auto"/>
      </w:divBdr>
    </w:div>
    <w:div w:id="1814327784">
      <w:bodyDiv w:val="1"/>
      <w:marLeft w:val="0"/>
      <w:marRight w:val="0"/>
      <w:marTop w:val="0"/>
      <w:marBottom w:val="0"/>
      <w:divBdr>
        <w:top w:val="none" w:sz="0" w:space="0" w:color="auto"/>
        <w:left w:val="none" w:sz="0" w:space="0" w:color="auto"/>
        <w:bottom w:val="none" w:sz="0" w:space="0" w:color="auto"/>
        <w:right w:val="none" w:sz="0" w:space="0" w:color="auto"/>
      </w:divBdr>
    </w:div>
    <w:div w:id="1841583447">
      <w:bodyDiv w:val="1"/>
      <w:marLeft w:val="0"/>
      <w:marRight w:val="0"/>
      <w:marTop w:val="0"/>
      <w:marBottom w:val="0"/>
      <w:divBdr>
        <w:top w:val="none" w:sz="0" w:space="0" w:color="auto"/>
        <w:left w:val="none" w:sz="0" w:space="0" w:color="auto"/>
        <w:bottom w:val="none" w:sz="0" w:space="0" w:color="auto"/>
        <w:right w:val="none" w:sz="0" w:space="0" w:color="auto"/>
      </w:divBdr>
    </w:div>
    <w:div w:id="1844205315">
      <w:bodyDiv w:val="1"/>
      <w:marLeft w:val="0"/>
      <w:marRight w:val="0"/>
      <w:marTop w:val="0"/>
      <w:marBottom w:val="0"/>
      <w:divBdr>
        <w:top w:val="none" w:sz="0" w:space="0" w:color="auto"/>
        <w:left w:val="none" w:sz="0" w:space="0" w:color="auto"/>
        <w:bottom w:val="none" w:sz="0" w:space="0" w:color="auto"/>
        <w:right w:val="none" w:sz="0" w:space="0" w:color="auto"/>
      </w:divBdr>
    </w:div>
    <w:div w:id="1860240296">
      <w:bodyDiv w:val="1"/>
      <w:marLeft w:val="0"/>
      <w:marRight w:val="0"/>
      <w:marTop w:val="0"/>
      <w:marBottom w:val="0"/>
      <w:divBdr>
        <w:top w:val="none" w:sz="0" w:space="0" w:color="auto"/>
        <w:left w:val="none" w:sz="0" w:space="0" w:color="auto"/>
        <w:bottom w:val="none" w:sz="0" w:space="0" w:color="auto"/>
        <w:right w:val="none" w:sz="0" w:space="0" w:color="auto"/>
      </w:divBdr>
    </w:div>
    <w:div w:id="1870218228">
      <w:bodyDiv w:val="1"/>
      <w:marLeft w:val="0"/>
      <w:marRight w:val="0"/>
      <w:marTop w:val="0"/>
      <w:marBottom w:val="0"/>
      <w:divBdr>
        <w:top w:val="none" w:sz="0" w:space="0" w:color="auto"/>
        <w:left w:val="none" w:sz="0" w:space="0" w:color="auto"/>
        <w:bottom w:val="none" w:sz="0" w:space="0" w:color="auto"/>
        <w:right w:val="none" w:sz="0" w:space="0" w:color="auto"/>
      </w:divBdr>
    </w:div>
    <w:div w:id="1896041934">
      <w:bodyDiv w:val="1"/>
      <w:marLeft w:val="0"/>
      <w:marRight w:val="0"/>
      <w:marTop w:val="0"/>
      <w:marBottom w:val="0"/>
      <w:divBdr>
        <w:top w:val="none" w:sz="0" w:space="0" w:color="auto"/>
        <w:left w:val="none" w:sz="0" w:space="0" w:color="auto"/>
        <w:bottom w:val="none" w:sz="0" w:space="0" w:color="auto"/>
        <w:right w:val="none" w:sz="0" w:space="0" w:color="auto"/>
      </w:divBdr>
    </w:div>
    <w:div w:id="1927375475">
      <w:bodyDiv w:val="1"/>
      <w:marLeft w:val="0"/>
      <w:marRight w:val="0"/>
      <w:marTop w:val="0"/>
      <w:marBottom w:val="0"/>
      <w:divBdr>
        <w:top w:val="none" w:sz="0" w:space="0" w:color="auto"/>
        <w:left w:val="none" w:sz="0" w:space="0" w:color="auto"/>
        <w:bottom w:val="none" w:sz="0" w:space="0" w:color="auto"/>
        <w:right w:val="none" w:sz="0" w:space="0" w:color="auto"/>
      </w:divBdr>
    </w:div>
    <w:div w:id="1945570269">
      <w:bodyDiv w:val="1"/>
      <w:marLeft w:val="0"/>
      <w:marRight w:val="0"/>
      <w:marTop w:val="0"/>
      <w:marBottom w:val="0"/>
      <w:divBdr>
        <w:top w:val="none" w:sz="0" w:space="0" w:color="auto"/>
        <w:left w:val="none" w:sz="0" w:space="0" w:color="auto"/>
        <w:bottom w:val="none" w:sz="0" w:space="0" w:color="auto"/>
        <w:right w:val="none" w:sz="0" w:space="0" w:color="auto"/>
      </w:divBdr>
    </w:div>
    <w:div w:id="1957833717">
      <w:bodyDiv w:val="1"/>
      <w:marLeft w:val="0"/>
      <w:marRight w:val="0"/>
      <w:marTop w:val="0"/>
      <w:marBottom w:val="0"/>
      <w:divBdr>
        <w:top w:val="none" w:sz="0" w:space="0" w:color="auto"/>
        <w:left w:val="none" w:sz="0" w:space="0" w:color="auto"/>
        <w:bottom w:val="none" w:sz="0" w:space="0" w:color="auto"/>
        <w:right w:val="none" w:sz="0" w:space="0" w:color="auto"/>
      </w:divBdr>
    </w:div>
    <w:div w:id="1968849355">
      <w:bodyDiv w:val="1"/>
      <w:marLeft w:val="0"/>
      <w:marRight w:val="0"/>
      <w:marTop w:val="0"/>
      <w:marBottom w:val="0"/>
      <w:divBdr>
        <w:top w:val="none" w:sz="0" w:space="0" w:color="auto"/>
        <w:left w:val="none" w:sz="0" w:space="0" w:color="auto"/>
        <w:bottom w:val="none" w:sz="0" w:space="0" w:color="auto"/>
        <w:right w:val="none" w:sz="0" w:space="0" w:color="auto"/>
      </w:divBdr>
    </w:div>
    <w:div w:id="1980332939">
      <w:bodyDiv w:val="1"/>
      <w:marLeft w:val="0"/>
      <w:marRight w:val="0"/>
      <w:marTop w:val="0"/>
      <w:marBottom w:val="0"/>
      <w:divBdr>
        <w:top w:val="none" w:sz="0" w:space="0" w:color="auto"/>
        <w:left w:val="none" w:sz="0" w:space="0" w:color="auto"/>
        <w:bottom w:val="none" w:sz="0" w:space="0" w:color="auto"/>
        <w:right w:val="none" w:sz="0" w:space="0" w:color="auto"/>
      </w:divBdr>
    </w:div>
    <w:div w:id="1985157387">
      <w:bodyDiv w:val="1"/>
      <w:marLeft w:val="0"/>
      <w:marRight w:val="0"/>
      <w:marTop w:val="0"/>
      <w:marBottom w:val="0"/>
      <w:divBdr>
        <w:top w:val="none" w:sz="0" w:space="0" w:color="auto"/>
        <w:left w:val="none" w:sz="0" w:space="0" w:color="auto"/>
        <w:bottom w:val="none" w:sz="0" w:space="0" w:color="auto"/>
        <w:right w:val="none" w:sz="0" w:space="0" w:color="auto"/>
      </w:divBdr>
    </w:div>
    <w:div w:id="2013802474">
      <w:bodyDiv w:val="1"/>
      <w:marLeft w:val="0"/>
      <w:marRight w:val="0"/>
      <w:marTop w:val="0"/>
      <w:marBottom w:val="0"/>
      <w:divBdr>
        <w:top w:val="none" w:sz="0" w:space="0" w:color="auto"/>
        <w:left w:val="none" w:sz="0" w:space="0" w:color="auto"/>
        <w:bottom w:val="none" w:sz="0" w:space="0" w:color="auto"/>
        <w:right w:val="none" w:sz="0" w:space="0" w:color="auto"/>
      </w:divBdr>
    </w:div>
    <w:div w:id="2078817712">
      <w:bodyDiv w:val="1"/>
      <w:marLeft w:val="0"/>
      <w:marRight w:val="0"/>
      <w:marTop w:val="0"/>
      <w:marBottom w:val="0"/>
      <w:divBdr>
        <w:top w:val="none" w:sz="0" w:space="0" w:color="auto"/>
        <w:left w:val="none" w:sz="0" w:space="0" w:color="auto"/>
        <w:bottom w:val="none" w:sz="0" w:space="0" w:color="auto"/>
        <w:right w:val="none" w:sz="0" w:space="0" w:color="auto"/>
      </w:divBdr>
    </w:div>
    <w:div w:id="2093310126">
      <w:bodyDiv w:val="1"/>
      <w:marLeft w:val="0"/>
      <w:marRight w:val="0"/>
      <w:marTop w:val="0"/>
      <w:marBottom w:val="0"/>
      <w:divBdr>
        <w:top w:val="none" w:sz="0" w:space="0" w:color="auto"/>
        <w:left w:val="none" w:sz="0" w:space="0" w:color="auto"/>
        <w:bottom w:val="none" w:sz="0" w:space="0" w:color="auto"/>
        <w:right w:val="none" w:sz="0" w:space="0" w:color="auto"/>
      </w:divBdr>
    </w:div>
    <w:div w:id="2094357807">
      <w:bodyDiv w:val="1"/>
      <w:marLeft w:val="0"/>
      <w:marRight w:val="0"/>
      <w:marTop w:val="0"/>
      <w:marBottom w:val="0"/>
      <w:divBdr>
        <w:top w:val="none" w:sz="0" w:space="0" w:color="auto"/>
        <w:left w:val="none" w:sz="0" w:space="0" w:color="auto"/>
        <w:bottom w:val="none" w:sz="0" w:space="0" w:color="auto"/>
        <w:right w:val="none" w:sz="0" w:space="0" w:color="auto"/>
      </w:divBdr>
    </w:div>
    <w:div w:id="2127043545">
      <w:bodyDiv w:val="1"/>
      <w:marLeft w:val="0"/>
      <w:marRight w:val="0"/>
      <w:marTop w:val="0"/>
      <w:marBottom w:val="0"/>
      <w:divBdr>
        <w:top w:val="none" w:sz="0" w:space="0" w:color="auto"/>
        <w:left w:val="none" w:sz="0" w:space="0" w:color="auto"/>
        <w:bottom w:val="none" w:sz="0" w:space="0" w:color="auto"/>
        <w:right w:val="none" w:sz="0" w:space="0" w:color="auto"/>
      </w:divBdr>
    </w:div>
    <w:div w:id="2128036508">
      <w:bodyDiv w:val="1"/>
      <w:marLeft w:val="0"/>
      <w:marRight w:val="0"/>
      <w:marTop w:val="0"/>
      <w:marBottom w:val="0"/>
      <w:divBdr>
        <w:top w:val="none" w:sz="0" w:space="0" w:color="auto"/>
        <w:left w:val="none" w:sz="0" w:space="0" w:color="auto"/>
        <w:bottom w:val="none" w:sz="0" w:space="0" w:color="auto"/>
        <w:right w:val="none" w:sz="0" w:space="0" w:color="auto"/>
      </w:divBdr>
    </w:div>
    <w:div w:id="2135245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jpeg"/><Relationship Id="rId18" Type="http://schemas.openxmlformats.org/officeDocument/2006/relationships/image" Target="media/image6.emf"/><Relationship Id="rId26" Type="http://schemas.openxmlformats.org/officeDocument/2006/relationships/hyperlink" Target="file:///G:\1%20Public\Capital%20programme\2017-18%20to%202019-20\February%20Cabinet\Final%20February%20Cabinet\Appendix%201%20-%2016.17%20Capital%20Programme%20%20restated%20V4%2018.01.17.xlsx" TargetMode="External"/><Relationship Id="rId3" Type="http://schemas.openxmlformats.org/officeDocument/2006/relationships/customXml" Target="../customXml/item3.xml"/><Relationship Id="rId21" Type="http://schemas.openxmlformats.org/officeDocument/2006/relationships/image" Target="media/image9.emf"/><Relationship Id="rId34"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image" Target="media/image5.emf"/><Relationship Id="rId25" Type="http://schemas.openxmlformats.org/officeDocument/2006/relationships/hyperlink" Target="file:///G:\1%20Public\Capital%20programme\2017-18%20to%202019-20\February%20Cabinet\Final%20February%20Cabinet\Final%20version%20Capital%20Programme%20Feb%202017%20Cabinet.docx" TargetMode="External"/><Relationship Id="rId33"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image" Target="media/image4.emf"/><Relationship Id="rId20" Type="http://schemas.openxmlformats.org/officeDocument/2006/relationships/image" Target="media/image8.png"/><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yperlink" Target="file:///C:\Users\fogunnai\AppData\Local\Microsoft\BUDGET\Budget%202017-18\February%20Cabinet\Final%20report\Final%20Report%20Appendices%20for%20Daksha\V4%20Final%20Budget%20Report%20070217.doc" TargetMode="External"/><Relationship Id="rId32" Type="http://schemas.openxmlformats.org/officeDocument/2006/relationships/header" Target="header3.xml"/><Relationship Id="rId5" Type="http://schemas.openxmlformats.org/officeDocument/2006/relationships/customXml" Target="../customXml/item5.xml"/><Relationship Id="rId15" Type="http://schemas.openxmlformats.org/officeDocument/2006/relationships/image" Target="media/image3.emf"/><Relationship Id="rId23" Type="http://schemas.openxmlformats.org/officeDocument/2006/relationships/hyperlink" Target="mailto:sharon.daniels@harrow.gov.uk" TargetMode="External"/><Relationship Id="rId28"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image" Target="media/image7.emf"/><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emf"/><Relationship Id="rId22" Type="http://schemas.openxmlformats.org/officeDocument/2006/relationships/image" Target="media/image10.emf"/><Relationship Id="rId27" Type="http://schemas.openxmlformats.org/officeDocument/2006/relationships/image" Target="media/image11.emf"/><Relationship Id="rId30" Type="http://schemas.openxmlformats.org/officeDocument/2006/relationships/footer" Target="footer1.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e48e9339-ef40-4192-ab59-a15ba5582753"/>
    <Finance_x0020_Category xmlns="21034249-a417-400c-94ae-292fd978b91a">Revenue</Finance_x0020_Category>
    <Report_x0020_Type xmlns="21034249-a417-400c-94ae-292fd978b91a">Budget Monitoring</Report_x0020_Type>
    <Financial_x0020_Date xmlns="e48e9339-ef40-4192-ab59-a15ba5582753">2016-10-31T00:00:00+00:00</Financial_x0020_Date>
    <TaxKeywordTaxHTField xmlns="e48e9339-ef40-4192-ab59-a15ba5582753">
      <Terms xmlns="http://schemas.microsoft.com/office/infopath/2007/PartnerControls"/>
    </TaxKeywordTaxHTField>
    <HarrowProtectiveMarking xmlns="e48e9339-ef40-4192-ab59-a15ba5582753">Official</HarrowProtectiveMarking>
    <HarrowDescription xmlns="e48e9339-ef40-4192-ab59-a15ba5582753" xsi:nil="true"/>
    <Audience xmlns="21034249-a417-400c-94ae-292fd978b91a">Cabinet</Audience>
  </documentManagement>
</p:properties>
</file>

<file path=customXml/item2.xml><?xml version="1.0" encoding="utf-8"?>
<ct:contentTypeSchema xmlns:ct="http://schemas.microsoft.com/office/2006/metadata/contentType" xmlns:ma="http://schemas.microsoft.com/office/2006/metadata/properties/metaAttributes" ct:_="" ma:_="" ma:contentTypeName="Report" ma:contentTypeID="0x0101000226E4B75CFA47B488D2CEFE4DCFDD641E00322D1B544C11E743A5C7D1E5E4FA227D" ma:contentTypeVersion="12" ma:contentTypeDescription="" ma:contentTypeScope="" ma:versionID="4d3bf415faa6f7f70738e8eca47b74d0">
  <xsd:schema xmlns:xsd="http://www.w3.org/2001/XMLSchema" xmlns:xs="http://www.w3.org/2001/XMLSchema" xmlns:p="http://schemas.microsoft.com/office/2006/metadata/properties" xmlns:ns2="e48e9339-ef40-4192-ab59-a15ba5582753" xmlns:ns3="21034249-a417-400c-94ae-292fd978b91a" targetNamespace="http://schemas.microsoft.com/office/2006/metadata/properties" ma:root="true" ma:fieldsID="8613bbf3e74375054153f4d0244c0164" ns2:_="" ns3:_="">
    <xsd:import namespace="e48e9339-ef40-4192-ab59-a15ba5582753"/>
    <xsd:import namespace="21034249-a417-400c-94ae-292fd978b91a"/>
    <xsd:element name="properties">
      <xsd:complexType>
        <xsd:sequence>
          <xsd:element name="documentManagement">
            <xsd:complexType>
              <xsd:all>
                <xsd:element ref="ns2:HarrowDescription" minOccurs="0"/>
                <xsd:element ref="ns2:HarrowProtectiveMarking"/>
                <xsd:element ref="ns2:TaxKeywordTaxHTField" minOccurs="0"/>
                <xsd:element ref="ns2:TaxCatchAll" minOccurs="0"/>
                <xsd:element ref="ns2:TaxCatchAllLabel" minOccurs="0"/>
                <xsd:element ref="ns2:Financial_x0020_Date"/>
                <xsd:element ref="ns3:Audience"/>
                <xsd:element ref="ns3:Finance_x0020_Category"/>
                <xsd:element ref="ns3:Report_x0020_Typ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8e9339-ef40-4192-ab59-a15ba5582753" elementFormDefault="qualified">
    <xsd:import namespace="http://schemas.microsoft.com/office/2006/documentManagement/types"/>
    <xsd:import namespace="http://schemas.microsoft.com/office/infopath/2007/PartnerControls"/>
    <xsd:element name="HarrowDescription" ma:index="8" nillable="true" ma:displayName="Description" ma:description="A brief description of the document contents." ma:internalName="HarrowDescription" ma:readOnly="false">
      <xsd:simpleType>
        <xsd:restriction base="dms:Note">
          <xsd:maxLength value="255"/>
        </xsd:restriction>
      </xsd:simpleType>
    </xsd:element>
    <xsd:element name="HarrowProtectiveMarking" ma:index="9" ma:displayName="Protective Marking" ma:description="Indicates the sensitivity of the content (using the rules defined by Home Office)." ma:format="Dropdown" ma:internalName="HarrowProtectiveMarking" ma:readOnly="false">
      <xsd:simpleType>
        <xsd:restriction base="dms:Choice">
          <xsd:enumeration value="Public"/>
          <xsd:enumeration value="Official"/>
          <xsd:enumeration value="Official (Sensitive)"/>
        </xsd:restriction>
      </xsd:simpleType>
    </xsd:element>
    <xsd:element name="TaxKeywordTaxHTField" ma:index="10" nillable="true" ma:taxonomy="true" ma:internalName="TaxKeywordTaxHTField" ma:taxonomyFieldName="TaxKeyword" ma:displayName="Enterprise Keywords" ma:fieldId="{23f27201-bee3-471e-b2e7-b64fd8b7ca38}" ma:taxonomyMulti="true" ma:sspId="b11bda97-64e7-4000-91fd-dcaad77bf85d" ma:termSetId="00000000-0000-0000-0000-000000000000" ma:anchorId="00000000-0000-0000-0000-000000000000" ma:open="true" ma:isKeyword="true">
      <xsd:complexType>
        <xsd:sequence>
          <xsd:element ref="pc:Terms" minOccurs="0" maxOccurs="1"/>
        </xsd:sequence>
      </xsd:complexType>
    </xsd:element>
    <xsd:element name="TaxCatchAll" ma:index="11" nillable="true" ma:displayName="Taxonomy Catch All Column" ma:description="" ma:hidden="true" ma:list="{8c710c3e-9a67-42a3-99ab-83e39a94b94e}" ma:internalName="TaxCatchAll" ma:showField="CatchAllData" ma:web="21034249-a417-400c-94ae-292fd978b91a">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description="" ma:hidden="true" ma:list="{8c710c3e-9a67-42a3-99ab-83e39a94b94e}" ma:internalName="TaxCatchAllLabel" ma:readOnly="true" ma:showField="CatchAllDataLabel" ma:web="21034249-a417-400c-94ae-292fd978b91a">
      <xsd:complexType>
        <xsd:complexContent>
          <xsd:extension base="dms:MultiChoiceLookup">
            <xsd:sequence>
              <xsd:element name="Value" type="dms:Lookup" maxOccurs="unbounded" minOccurs="0" nillable="true"/>
            </xsd:sequence>
          </xsd:extension>
        </xsd:complexContent>
      </xsd:complexType>
    </xsd:element>
    <xsd:element name="Financial_x0020_Date" ma:index="14" ma:displayName="Financial Date" ma:format="DateOnly" ma:indexed="true" ma:internalName="Financial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21034249-a417-400c-94ae-292fd978b91a" elementFormDefault="qualified">
    <xsd:import namespace="http://schemas.microsoft.com/office/2006/documentManagement/types"/>
    <xsd:import namespace="http://schemas.microsoft.com/office/infopath/2007/PartnerControls"/>
    <xsd:element name="Audience" ma:index="17" ma:displayName="Audience" ma:format="Dropdown" ma:internalName="Audience">
      <xsd:simpleType>
        <xsd:restriction base="dms:Choice">
          <xsd:enumeration value="Cabinet"/>
          <xsd:enumeration value="Council"/>
          <xsd:enumeration value="CSB"/>
        </xsd:restriction>
      </xsd:simpleType>
    </xsd:element>
    <xsd:element name="Finance_x0020_Category" ma:index="18" ma:displayName="Finance Category" ma:format="Dropdown" ma:internalName="Finance_x0020_Category">
      <xsd:simpleType>
        <xsd:restriction base="dms:Choice">
          <xsd:enumeration value="Capital"/>
          <xsd:enumeration value="Revenue"/>
        </xsd:restriction>
      </xsd:simpleType>
    </xsd:element>
    <xsd:element name="Report_x0020_Type" ma:index="19" ma:displayName="Report Type" ma:format="Dropdown" ma:internalName="Report_x0020_Type">
      <xsd:simpleType>
        <xsd:restriction base="dms:Choice">
          <xsd:enumeration value="Budget Build"/>
          <xsd:enumeration value="Budget Monitoring"/>
          <xsd:enumeration value="Fees and Charg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b11bda97-64e7-4000-91fd-dcaad77bf85d" ContentTypeId="0x0101000226E4B75CFA47B488D2CEFE4DCFDD641E" PreviousValue="tru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F07451-7AD7-43F1-A856-236694DDB346}">
  <ds:schemaRefs>
    <ds:schemaRef ds:uri="e48e9339-ef40-4192-ab59-a15ba5582753"/>
    <ds:schemaRef ds:uri="http://purl.org/dc/dcmitype/"/>
    <ds:schemaRef ds:uri="http://purl.org/dc/terms/"/>
    <ds:schemaRef ds:uri="http://purl.org/dc/elements/1.1/"/>
    <ds:schemaRef ds:uri="http://schemas.microsoft.com/office/infopath/2007/PartnerControls"/>
    <ds:schemaRef ds:uri="http://schemas.microsoft.com/office/2006/documentManagement/types"/>
    <ds:schemaRef ds:uri="http://www.w3.org/XML/1998/namespace"/>
    <ds:schemaRef ds:uri="http://schemas.microsoft.com/office/2006/metadata/properties"/>
    <ds:schemaRef ds:uri="http://schemas.openxmlformats.org/package/2006/metadata/core-properties"/>
    <ds:schemaRef ds:uri="21034249-a417-400c-94ae-292fd978b91a"/>
  </ds:schemaRefs>
</ds:datastoreItem>
</file>

<file path=customXml/itemProps2.xml><?xml version="1.0" encoding="utf-8"?>
<ds:datastoreItem xmlns:ds="http://schemas.openxmlformats.org/officeDocument/2006/customXml" ds:itemID="{E7E2CF59-7F7F-4B44-A644-6AA3B57112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8e9339-ef40-4192-ab59-a15ba5582753"/>
    <ds:schemaRef ds:uri="21034249-a417-400c-94ae-292fd978b9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9BC925F-5004-4C23-A8D1-448F06E40D5B}">
  <ds:schemaRefs>
    <ds:schemaRef ds:uri="http://schemas.microsoft.com/sharepoint/v3/contenttype/forms"/>
  </ds:schemaRefs>
</ds:datastoreItem>
</file>

<file path=customXml/itemProps4.xml><?xml version="1.0" encoding="utf-8"?>
<ds:datastoreItem xmlns:ds="http://schemas.openxmlformats.org/officeDocument/2006/customXml" ds:itemID="{3245E281-FBE6-46CF-A661-918C14305235}">
  <ds:schemaRefs>
    <ds:schemaRef ds:uri="Microsoft.SharePoint.Taxonomy.ContentTypeSync"/>
  </ds:schemaRefs>
</ds:datastoreItem>
</file>

<file path=customXml/itemProps5.xml><?xml version="1.0" encoding="utf-8"?>
<ds:datastoreItem xmlns:ds="http://schemas.openxmlformats.org/officeDocument/2006/customXml" ds:itemID="{0B4D1901-388F-4AD4-AD62-11A006E7C9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23</Pages>
  <Words>6019</Words>
  <Characters>32911</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REPORT FOR:</vt:lpstr>
    </vt:vector>
  </TitlesOfParts>
  <Company>Harrow Council</Company>
  <LinksUpToDate>false</LinksUpToDate>
  <CharactersWithSpaces>38853</CharactersWithSpaces>
  <SharedDoc>false</SharedDoc>
  <HLinks>
    <vt:vector size="12" baseType="variant">
      <vt:variant>
        <vt:i4>2556019</vt:i4>
      </vt:variant>
      <vt:variant>
        <vt:i4>3</vt:i4>
      </vt:variant>
      <vt:variant>
        <vt:i4>0</vt:i4>
      </vt:variant>
      <vt:variant>
        <vt:i4>5</vt:i4>
      </vt:variant>
      <vt:variant>
        <vt:lpwstr>http://harrowhub/info/200143/equality_and_diversity/1201/policies_and_legislation/8</vt:lpwstr>
      </vt:variant>
      <vt:variant>
        <vt:lpwstr/>
      </vt:variant>
      <vt:variant>
        <vt:i4>983110</vt:i4>
      </vt:variant>
      <vt:variant>
        <vt:i4>0</vt:i4>
      </vt:variant>
      <vt:variant>
        <vt:i4>0</vt:i4>
      </vt:variant>
      <vt:variant>
        <vt:i4>5</vt:i4>
      </vt:variant>
      <vt:variant>
        <vt:lpwstr>http://www.energysavingtrust.org.uk/nottingham/Nottingham-Declaration/Advice-for-Council-Services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FOR:</dc:title>
  <dc:creator>DGhelani</dc:creator>
  <cp:lastModifiedBy>Daksha Ghelani</cp:lastModifiedBy>
  <cp:revision>3</cp:revision>
  <cp:lastPrinted>2017-09-04T12:39:00Z</cp:lastPrinted>
  <dcterms:created xsi:type="dcterms:W3CDTF">2017-09-04T15:45:00Z</dcterms:created>
  <dcterms:modified xsi:type="dcterms:W3CDTF">2017-09-05T08:48:00Z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0x0101000226E4B75CFA47B488D2CEFE4DCFDD641E00322D1B544C11E743A5C7D1E5E4FA227D</vt:lpwstr>
  </property>
  <property fmtid="{D5CDD505-2E9C-101B-9397-08002B2CF9AE}" pid="3" name="TaxKeyword">
    <vt:lpwstr/>
  </property>
</Properties>
</file>